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0424034"/>
        <w:docPartObj>
          <w:docPartGallery w:val="Cover Pages"/>
          <w:docPartUnique/>
        </w:docPartObj>
      </w:sdtPr>
      <w:sdtEndPr>
        <w:rPr>
          <w:rFonts w:ascii="Arial" w:eastAsiaTheme="minorHAnsi" w:hAnsi="Arial" w:cstheme="minorBidi"/>
          <w:sz w:val="24"/>
          <w:szCs w:val="22"/>
        </w:rPr>
      </w:sdtEndPr>
      <w:sdtContent>
        <w:p w14:paraId="019C6F3D" w14:textId="77777777" w:rsidR="00A9623A" w:rsidRDefault="00A9623A" w:rsidP="00A9623A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14:paraId="019C6F3E" w14:textId="77777777" w:rsidR="008B432F" w:rsidRDefault="008B432F" w:rsidP="00A9623A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14:paraId="2798F915" w14:textId="6BCB34E6" w:rsidR="00C04296" w:rsidRPr="00C04296" w:rsidRDefault="00C04296" w:rsidP="00C04296">
          <w:pPr>
            <w:pStyle w:val="Textoindependiente2"/>
            <w:rPr>
              <w:rFonts w:asciiTheme="minorHAnsi" w:hAnsiTheme="minorHAnsi" w:cstheme="minorHAnsi"/>
              <w:b/>
              <w:smallCaps/>
              <w:sz w:val="60"/>
              <w:szCs w:val="60"/>
            </w:rPr>
          </w:pPr>
          <w:r w:rsidRPr="00C04296">
            <w:rPr>
              <w:rFonts w:asciiTheme="minorHAnsi" w:hAnsiTheme="minorHAnsi" w:cstheme="minorHAnsi"/>
              <w:b/>
              <w:smallCaps/>
              <w:sz w:val="60"/>
              <w:szCs w:val="60"/>
            </w:rPr>
            <w:t>Informe Cumplimiento Plan Estratégico Institucional al 31 de Diciembre  20</w:t>
          </w:r>
          <w:r w:rsidR="009D4530">
            <w:rPr>
              <w:rFonts w:asciiTheme="minorHAnsi" w:hAnsiTheme="minorHAnsi" w:cstheme="minorHAnsi"/>
              <w:b/>
              <w:smallCaps/>
              <w:sz w:val="60"/>
              <w:szCs w:val="60"/>
            </w:rPr>
            <w:t>20</w:t>
          </w:r>
        </w:p>
        <w:sdt>
          <w:sdtPr>
            <w:rPr>
              <w:rStyle w:val="Estilo12"/>
            </w:rPr>
            <w:alias w:val="Subtítulo"/>
            <w:tag w:val="Subtítulo"/>
            <w:id w:val="641852548"/>
            <w:showingPlcHdr/>
            <w:text/>
          </w:sdtPr>
          <w:sdtEndPr>
            <w:rPr>
              <w:rStyle w:val="Fuentedeprrafopredeter"/>
              <w:rFonts w:asciiTheme="majorHAnsi" w:eastAsiaTheme="majorEastAsia" w:hAnsiTheme="majorHAnsi" w:cstheme="majorBidi"/>
              <w:sz w:val="22"/>
              <w:szCs w:val="36"/>
            </w:rPr>
          </w:sdtEndPr>
          <w:sdtContent>
            <w:p w14:paraId="019C6F41" w14:textId="3AAB363B" w:rsidR="00A9623A" w:rsidRDefault="00C04296" w:rsidP="00A9623A">
              <w:pPr>
                <w:pStyle w:val="Sinespaciado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Style w:val="Estilo12"/>
                </w:rPr>
                <w:t xml:space="preserve">     </w:t>
              </w:r>
            </w:p>
          </w:sdtContent>
        </w:sdt>
        <w:p w14:paraId="019C6F42" w14:textId="36C01765" w:rsidR="00995D59" w:rsidRDefault="00995D59" w:rsidP="00A9623A">
          <w:pPr>
            <w:pStyle w:val="Sinespaciad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17F88A9D" w14:textId="77777777" w:rsidR="007112BA" w:rsidRDefault="007112BA" w:rsidP="00A9623A">
          <w:pPr>
            <w:pStyle w:val="Sinespaciad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sdt>
          <w:sdtPr>
            <w:rPr>
              <w:rStyle w:val="Estilo8"/>
            </w:rPr>
            <w:alias w:val="Escriba el área o departamento"/>
            <w:tag w:val="Escriba el área o departamento"/>
            <w:id w:val="758407926"/>
            <w:text/>
          </w:sdtPr>
          <w:sdtEndPr>
            <w:rPr>
              <w:rStyle w:val="Fuentedeprrafopredeter"/>
              <w:rFonts w:eastAsiaTheme="majorEastAsia" w:cs="Arial"/>
              <w:sz w:val="22"/>
              <w:szCs w:val="36"/>
            </w:rPr>
          </w:sdtEndPr>
          <w:sdtContent>
            <w:p w14:paraId="2A892E0B" w14:textId="4484728F" w:rsidR="000815E3" w:rsidRDefault="00C04296" w:rsidP="007112BA">
              <w:pPr>
                <w:pStyle w:val="Sinespaciado"/>
                <w:rPr>
                  <w:rFonts w:ascii="Arial" w:eastAsiaTheme="majorEastAsia" w:hAnsi="Arial" w:cs="Arial"/>
                  <w:sz w:val="28"/>
                  <w:szCs w:val="36"/>
                </w:rPr>
              </w:pPr>
              <w:r>
                <w:rPr>
                  <w:rStyle w:val="Estilo8"/>
                </w:rPr>
                <w:t>Unidad de Planificación Institucional</w:t>
              </w:r>
            </w:p>
          </w:sdtContent>
        </w:sdt>
        <w:sdt>
          <w:sdtPr>
            <w:rPr>
              <w:rStyle w:val="Estilo9"/>
            </w:rPr>
            <w:alias w:val="Escriba la fecha"/>
            <w:tag w:val="Escriba la fecha"/>
            <w:id w:val="-1011208435"/>
            <w:date>
              <w:dateFormat w:val="MMMM' de 'yyyy"/>
              <w:lid w:val="es-CR"/>
              <w:storeMappedDataAs w:val="dateTime"/>
              <w:calendar w:val="gregorian"/>
            </w:date>
          </w:sdtPr>
          <w:sdtEndPr>
            <w:rPr>
              <w:rStyle w:val="Fuentedeprrafopredeter"/>
              <w:rFonts w:eastAsiaTheme="majorEastAsia" w:cs="Arial"/>
              <w:sz w:val="28"/>
              <w:szCs w:val="36"/>
            </w:rPr>
          </w:sdtEndPr>
          <w:sdtContent>
            <w:p w14:paraId="019C6F43" w14:textId="206CEBF0" w:rsidR="00995D59" w:rsidRPr="00995D59" w:rsidRDefault="00C04296" w:rsidP="007112BA">
              <w:pPr>
                <w:pStyle w:val="Sinespaciado"/>
                <w:rPr>
                  <w:rFonts w:ascii="Arial" w:eastAsiaTheme="majorEastAsia" w:hAnsi="Arial" w:cs="Arial"/>
                  <w:sz w:val="28"/>
                  <w:szCs w:val="36"/>
                </w:rPr>
              </w:pPr>
              <w:r>
                <w:rPr>
                  <w:rStyle w:val="Estilo9"/>
                </w:rPr>
                <w:t>Marzo de 202</w:t>
              </w:r>
              <w:r w:rsidR="00571290">
                <w:rPr>
                  <w:rStyle w:val="Estilo9"/>
                </w:rPr>
                <w:t>1</w:t>
              </w:r>
            </w:p>
          </w:sdtContent>
        </w:sdt>
        <w:p w14:paraId="019C6F45" w14:textId="77777777" w:rsidR="00A9623A" w:rsidRDefault="00A9623A" w:rsidP="00A9623A">
          <w:pPr>
            <w:pStyle w:val="Sinespaciad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019C6F46" w14:textId="77777777" w:rsidR="00A9623A" w:rsidRDefault="00A9623A" w:rsidP="00A9623A"/>
        <w:p w14:paraId="019C6F47" w14:textId="77777777" w:rsidR="00A9623A" w:rsidRDefault="00487B82" w:rsidP="00A9623A">
          <w:pPr>
            <w:spacing w:after="180" w:line="274" w:lineRule="auto"/>
          </w:pPr>
        </w:p>
      </w:sdtContent>
    </w:sdt>
    <w:p w14:paraId="019C6F48" w14:textId="50E8C5F0" w:rsidR="00C91CAF" w:rsidRDefault="00C91CAF" w:rsidP="00293842">
      <w:pPr>
        <w:jc w:val="center"/>
      </w:pPr>
    </w:p>
    <w:p w14:paraId="649A05C6" w14:textId="03DC6336" w:rsidR="00C91CAF" w:rsidRDefault="00C91CAF" w:rsidP="00C91CAF"/>
    <w:p w14:paraId="38D6BFC5" w14:textId="40CF989B" w:rsidR="00C04296" w:rsidRDefault="00C91CAF" w:rsidP="00C91CAF">
      <w:pPr>
        <w:tabs>
          <w:tab w:val="left" w:pos="5910"/>
        </w:tabs>
      </w:pPr>
      <w:r>
        <w:tab/>
      </w:r>
    </w:p>
    <w:p w14:paraId="771E4686" w14:textId="0CFE7343" w:rsidR="00C04296" w:rsidRDefault="00E44934">
      <w:r>
        <w:rPr>
          <w:noProof/>
          <w:lang w:eastAsia="es-CR"/>
        </w:rPr>
        <w:drawing>
          <wp:anchor distT="0" distB="0" distL="114300" distR="114300" simplePos="0" relativeHeight="251660288" behindDoc="0" locked="0" layoutInCell="1" allowOverlap="1" wp14:anchorId="019C6F49" wp14:editId="173EA11B">
            <wp:simplePos x="0" y="0"/>
            <wp:positionH relativeFrom="column">
              <wp:posOffset>1779270</wp:posOffset>
            </wp:positionH>
            <wp:positionV relativeFrom="paragraph">
              <wp:posOffset>791210</wp:posOffset>
            </wp:positionV>
            <wp:extent cx="2015490" cy="1598295"/>
            <wp:effectExtent l="0" t="0" r="3810" b="1905"/>
            <wp:wrapSquare wrapText="bothSides"/>
            <wp:docPr id="1" name="Imagen 1" descr="D:\SusOtarola\Pictures\Artes\Libro Marca\logo y slo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usOtarola\Pictures\Artes\Libro Marca\logo y sloga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296">
        <w:br w:type="page"/>
      </w:r>
    </w:p>
    <w:p w14:paraId="3B38F50E" w14:textId="2044B51B" w:rsidR="00C04296" w:rsidRPr="00C04296" w:rsidRDefault="00C04296" w:rsidP="00C042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mallCaps/>
          <w:szCs w:val="24"/>
          <w:lang w:eastAsia="es-ES"/>
        </w:rPr>
      </w:pPr>
      <w:r w:rsidRPr="00C04296">
        <w:rPr>
          <w:rFonts w:asciiTheme="minorHAnsi" w:eastAsia="Times New Roman" w:hAnsiTheme="minorHAnsi" w:cstheme="minorHAnsi"/>
          <w:b/>
          <w:smallCaps/>
          <w:szCs w:val="24"/>
          <w:lang w:eastAsia="es-ES"/>
        </w:rPr>
        <w:lastRenderedPageBreak/>
        <w:t xml:space="preserve">Informe Cumplimiento Plan Estratégico Institucional  </w:t>
      </w:r>
    </w:p>
    <w:p w14:paraId="131E00D1" w14:textId="6F27B456" w:rsidR="00C04296" w:rsidRPr="00C04296" w:rsidRDefault="00C04296" w:rsidP="00C042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mallCaps/>
          <w:szCs w:val="24"/>
          <w:lang w:eastAsia="es-ES"/>
        </w:rPr>
      </w:pPr>
      <w:r w:rsidRPr="00C04296">
        <w:rPr>
          <w:rFonts w:asciiTheme="minorHAnsi" w:eastAsia="Times New Roman" w:hAnsiTheme="minorHAnsi" w:cstheme="minorHAnsi"/>
          <w:b/>
          <w:smallCaps/>
          <w:szCs w:val="24"/>
          <w:lang w:eastAsia="es-ES"/>
        </w:rPr>
        <w:t>al 31 de Diciembre  20</w:t>
      </w:r>
      <w:r w:rsidR="0026119B">
        <w:rPr>
          <w:rFonts w:asciiTheme="minorHAnsi" w:eastAsia="Times New Roman" w:hAnsiTheme="minorHAnsi" w:cstheme="minorHAnsi"/>
          <w:b/>
          <w:smallCaps/>
          <w:szCs w:val="24"/>
          <w:lang w:eastAsia="es-ES"/>
        </w:rPr>
        <w:t>20</w:t>
      </w:r>
    </w:p>
    <w:p w14:paraId="01120688" w14:textId="77777777" w:rsidR="00C04296" w:rsidRPr="00C04296" w:rsidRDefault="00C04296" w:rsidP="00C042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mallCaps/>
          <w:szCs w:val="24"/>
          <w:lang w:eastAsia="es-ES"/>
        </w:rPr>
      </w:pPr>
    </w:p>
    <w:p w14:paraId="2B913027" w14:textId="77777777" w:rsidR="00C04296" w:rsidRPr="00C04296" w:rsidRDefault="00C04296" w:rsidP="00C042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mallCaps/>
          <w:szCs w:val="24"/>
          <w:lang w:eastAsia="es-ES"/>
        </w:rPr>
      </w:pPr>
    </w:p>
    <w:p w14:paraId="7BF10A1A" w14:textId="77777777" w:rsidR="00C04296" w:rsidRPr="00C04296" w:rsidRDefault="00C04296" w:rsidP="00C04296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smallCaps/>
          <w:sz w:val="26"/>
          <w:szCs w:val="26"/>
          <w:lang w:val="es-ES" w:eastAsia="es-ES"/>
        </w:rPr>
      </w:pPr>
      <w:r w:rsidRPr="00C04296">
        <w:rPr>
          <w:rFonts w:asciiTheme="minorHAnsi" w:eastAsia="Times New Roman" w:hAnsiTheme="minorHAnsi" w:cstheme="minorHAnsi"/>
          <w:b/>
          <w:smallCaps/>
          <w:sz w:val="26"/>
          <w:szCs w:val="26"/>
          <w:lang w:val="es-ES" w:eastAsia="es-ES"/>
        </w:rPr>
        <w:t xml:space="preserve">Introducción </w:t>
      </w:r>
    </w:p>
    <w:p w14:paraId="691D8D27" w14:textId="77777777" w:rsidR="00C04296" w:rsidRPr="00C04296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23"/>
          <w:szCs w:val="23"/>
          <w:lang w:val="es-ES" w:eastAsia="es-ES"/>
        </w:rPr>
      </w:pPr>
    </w:p>
    <w:p w14:paraId="2DBD0396" w14:textId="71A560CA" w:rsidR="00C04296" w:rsidRPr="00596DCB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val="es-ES" w:eastAsia="es-ES"/>
        </w:rPr>
      </w:pPr>
      <w:r w:rsidRPr="00596DCB">
        <w:rPr>
          <w:rFonts w:asciiTheme="minorHAnsi" w:eastAsia="Times New Roman" w:hAnsiTheme="minorHAnsi" w:cstheme="minorHAnsi"/>
          <w:sz w:val="22"/>
          <w:lang w:val="es-ES" w:eastAsia="es-ES"/>
        </w:rPr>
        <w:t xml:space="preserve">El informe adjunto contempla el seguimiento del Plan Estratégico Institucional 2016-2019, aprobado por la Junta Directiva en </w:t>
      </w:r>
      <w:r w:rsidR="00E44934" w:rsidRPr="00596DCB">
        <w:rPr>
          <w:rFonts w:asciiTheme="minorHAnsi" w:eastAsia="Times New Roman" w:hAnsiTheme="minorHAnsi" w:cstheme="minorHAnsi"/>
          <w:sz w:val="22"/>
          <w:lang w:val="es-ES" w:eastAsia="es-ES"/>
        </w:rPr>
        <w:t>s</w:t>
      </w:r>
      <w:r w:rsidRPr="00596DCB">
        <w:rPr>
          <w:rFonts w:asciiTheme="minorHAnsi" w:eastAsia="Times New Roman" w:hAnsiTheme="minorHAnsi" w:cstheme="minorHAnsi"/>
          <w:sz w:val="22"/>
          <w:lang w:val="es-ES" w:eastAsia="es-ES"/>
        </w:rPr>
        <w:t>esión 34-2016 del 19/05/2016, cuya vigencia hasta el 31 de diciembre de 2020 fue aprobada mediante acuerdo No. 7 de la sesión 68-2019 de la Junta Directiva del BANHVI, celebrada el 02/09/2019.</w:t>
      </w:r>
    </w:p>
    <w:p w14:paraId="707F27FB" w14:textId="592DB919" w:rsidR="00317D80" w:rsidRPr="00596DCB" w:rsidRDefault="00317D80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val="es-ES" w:eastAsia="es-ES"/>
        </w:rPr>
      </w:pPr>
    </w:p>
    <w:p w14:paraId="0C7C9FB0" w14:textId="120D64F1" w:rsidR="008C6064" w:rsidRPr="008657F1" w:rsidRDefault="00596DCB" w:rsidP="00317D80">
      <w:pPr>
        <w:spacing w:after="0" w:line="240" w:lineRule="auto"/>
        <w:jc w:val="both"/>
        <w:rPr>
          <w:rFonts w:asciiTheme="minorHAnsi" w:eastAsia="MS Gothic" w:hAnsiTheme="minorHAnsi" w:cstheme="minorHAnsi"/>
          <w:sz w:val="22"/>
        </w:rPr>
      </w:pPr>
      <w:r w:rsidRPr="008657F1">
        <w:rPr>
          <w:rFonts w:asciiTheme="minorHAnsi" w:eastAsia="Times New Roman" w:hAnsiTheme="minorHAnsi" w:cstheme="minorHAnsi"/>
          <w:sz w:val="22"/>
          <w:lang w:eastAsia="es-CR"/>
        </w:rPr>
        <w:t>Asimismo, la</w:t>
      </w:r>
      <w:r w:rsidR="00317D80" w:rsidRPr="008657F1">
        <w:rPr>
          <w:rFonts w:asciiTheme="minorHAnsi" w:eastAsia="Times New Roman" w:hAnsiTheme="minorHAnsi" w:cstheme="minorHAnsi"/>
          <w:sz w:val="22"/>
          <w:lang w:eastAsia="es-CR"/>
        </w:rPr>
        <w:t xml:space="preserve"> Junta Directiva mediante </w:t>
      </w:r>
      <w:r w:rsidR="00317D80" w:rsidRPr="008657F1">
        <w:rPr>
          <w:rFonts w:asciiTheme="minorHAnsi" w:eastAsia="Calibri" w:hAnsiTheme="minorHAnsi" w:cstheme="minorHAnsi"/>
          <w:color w:val="000000"/>
          <w:sz w:val="22"/>
        </w:rPr>
        <w:t xml:space="preserve">No. 1 de la sesión 76-2020 realizada el 28 de setiembre del 2020, aprueba extender la vigencia del </w:t>
      </w:r>
      <w:r w:rsidR="008C6064" w:rsidRPr="008657F1">
        <w:rPr>
          <w:rFonts w:asciiTheme="minorHAnsi" w:eastAsia="MS Gothic" w:hAnsiTheme="minorHAnsi" w:cstheme="minorHAnsi"/>
          <w:sz w:val="22"/>
        </w:rPr>
        <w:t>P</w:t>
      </w:r>
      <w:r w:rsidR="00317D80" w:rsidRPr="008657F1">
        <w:rPr>
          <w:rFonts w:asciiTheme="minorHAnsi" w:eastAsia="MS Gothic" w:hAnsiTheme="minorHAnsi" w:cstheme="minorHAnsi"/>
          <w:sz w:val="22"/>
        </w:rPr>
        <w:t>lan Estratégico Institucional 2016-2020, al año 2021</w:t>
      </w:r>
      <w:r w:rsidR="008C6064" w:rsidRPr="008657F1">
        <w:rPr>
          <w:rFonts w:asciiTheme="minorHAnsi" w:eastAsia="MS Gothic" w:hAnsiTheme="minorHAnsi" w:cstheme="minorHAnsi"/>
          <w:sz w:val="22"/>
        </w:rPr>
        <w:t xml:space="preserve">. A partir dicho acuerdo se </w:t>
      </w:r>
      <w:r w:rsidR="00486351" w:rsidRPr="008657F1">
        <w:rPr>
          <w:rFonts w:asciiTheme="minorHAnsi" w:eastAsia="MS Gothic" w:hAnsiTheme="minorHAnsi" w:cstheme="minorHAnsi"/>
          <w:sz w:val="22"/>
        </w:rPr>
        <w:t>llevó</w:t>
      </w:r>
      <w:r w:rsidR="008C6064" w:rsidRPr="008657F1">
        <w:rPr>
          <w:rFonts w:asciiTheme="minorHAnsi" w:eastAsia="MS Gothic" w:hAnsiTheme="minorHAnsi" w:cstheme="minorHAnsi"/>
          <w:sz w:val="22"/>
        </w:rPr>
        <w:t xml:space="preserve"> a </w:t>
      </w:r>
      <w:proofErr w:type="gramStart"/>
      <w:r w:rsidR="008C6064" w:rsidRPr="008657F1">
        <w:rPr>
          <w:rFonts w:asciiTheme="minorHAnsi" w:eastAsia="MS Gothic" w:hAnsiTheme="minorHAnsi" w:cstheme="minorHAnsi"/>
          <w:sz w:val="22"/>
        </w:rPr>
        <w:t>cabo</w:t>
      </w:r>
      <w:proofErr w:type="gramEnd"/>
      <w:r w:rsidR="00486351" w:rsidRPr="008657F1">
        <w:rPr>
          <w:rFonts w:asciiTheme="minorHAnsi" w:eastAsia="MS Gothic" w:hAnsiTheme="minorHAnsi" w:cstheme="minorHAnsi"/>
          <w:sz w:val="22"/>
        </w:rPr>
        <w:t xml:space="preserve"> </w:t>
      </w:r>
      <w:r w:rsidR="008657F1" w:rsidRPr="008657F1">
        <w:rPr>
          <w:rFonts w:asciiTheme="minorHAnsi" w:eastAsia="MS Gothic" w:hAnsiTheme="minorHAnsi" w:cstheme="minorHAnsi"/>
          <w:sz w:val="22"/>
        </w:rPr>
        <w:t>además, un</w:t>
      </w:r>
      <w:r w:rsidR="008C6064" w:rsidRPr="008657F1">
        <w:rPr>
          <w:rFonts w:asciiTheme="minorHAnsi" w:eastAsia="MS Gothic" w:hAnsiTheme="minorHAnsi" w:cstheme="minorHAnsi"/>
          <w:sz w:val="22"/>
        </w:rPr>
        <w:t xml:space="preserve"> análisis de los objetivos estratégicos del PEI y se valoran y recomiendan ajustes dada la extensión de su vigencia al 2021.</w:t>
      </w:r>
    </w:p>
    <w:p w14:paraId="58A0A5B1" w14:textId="260164C6" w:rsidR="008C6064" w:rsidRPr="008657F1" w:rsidRDefault="008C6064" w:rsidP="00317D80">
      <w:pPr>
        <w:spacing w:after="0" w:line="240" w:lineRule="auto"/>
        <w:jc w:val="both"/>
        <w:rPr>
          <w:rFonts w:asciiTheme="minorHAnsi" w:eastAsia="MS Gothic" w:hAnsiTheme="minorHAnsi" w:cstheme="minorHAnsi"/>
          <w:sz w:val="22"/>
        </w:rPr>
      </w:pPr>
    </w:p>
    <w:p w14:paraId="1E83C1DE" w14:textId="6D564025" w:rsidR="008C6064" w:rsidRPr="008C6064" w:rsidRDefault="008C6064" w:rsidP="00317D80">
      <w:pPr>
        <w:spacing w:after="0" w:line="240" w:lineRule="auto"/>
        <w:jc w:val="both"/>
        <w:rPr>
          <w:rFonts w:asciiTheme="minorHAnsi" w:eastAsia="MS Gothic" w:hAnsiTheme="minorHAnsi" w:cstheme="minorHAnsi"/>
          <w:sz w:val="22"/>
        </w:rPr>
      </w:pPr>
      <w:r w:rsidRPr="008657F1">
        <w:rPr>
          <w:rFonts w:asciiTheme="minorHAnsi" w:eastAsia="MS Gothic" w:hAnsiTheme="minorHAnsi" w:cstheme="minorHAnsi"/>
          <w:sz w:val="22"/>
        </w:rPr>
        <w:t xml:space="preserve">Dicho análisis se presentó en el oficio UPI-ME-217-2020 del 21/12/2020, el cual no se desarrolla en el presente informe, sin </w:t>
      </w:r>
      <w:r w:rsidR="00486351" w:rsidRPr="008657F1">
        <w:rPr>
          <w:rFonts w:asciiTheme="minorHAnsi" w:eastAsia="MS Gothic" w:hAnsiTheme="minorHAnsi" w:cstheme="minorHAnsi"/>
          <w:sz w:val="22"/>
        </w:rPr>
        <w:t>embargo,</w:t>
      </w:r>
      <w:r w:rsidRPr="008657F1">
        <w:rPr>
          <w:rFonts w:asciiTheme="minorHAnsi" w:eastAsia="MS Gothic" w:hAnsiTheme="minorHAnsi" w:cstheme="minorHAnsi"/>
          <w:sz w:val="22"/>
        </w:rPr>
        <w:t xml:space="preserve"> dado los resultados que se muestran a</w:t>
      </w:r>
      <w:r w:rsidR="00486351" w:rsidRPr="008657F1">
        <w:rPr>
          <w:rFonts w:asciiTheme="minorHAnsi" w:eastAsia="MS Gothic" w:hAnsiTheme="minorHAnsi" w:cstheme="minorHAnsi"/>
          <w:sz w:val="22"/>
        </w:rPr>
        <w:t xml:space="preserve"> </w:t>
      </w:r>
      <w:r w:rsidRPr="008657F1">
        <w:rPr>
          <w:rFonts w:asciiTheme="minorHAnsi" w:eastAsia="MS Gothic" w:hAnsiTheme="minorHAnsi" w:cstheme="minorHAnsi"/>
          <w:sz w:val="22"/>
        </w:rPr>
        <w:t>diciembre 2020,</w:t>
      </w:r>
      <w:r w:rsidR="00486351" w:rsidRPr="008657F1">
        <w:rPr>
          <w:rFonts w:asciiTheme="minorHAnsi" w:eastAsia="MS Gothic" w:hAnsiTheme="minorHAnsi" w:cstheme="minorHAnsi"/>
          <w:sz w:val="22"/>
        </w:rPr>
        <w:t xml:space="preserve"> y la concordancia de estos con el análisis consignado en dicho </w:t>
      </w:r>
      <w:r w:rsidR="008657F1" w:rsidRPr="008657F1">
        <w:rPr>
          <w:rFonts w:asciiTheme="minorHAnsi" w:eastAsia="MS Gothic" w:hAnsiTheme="minorHAnsi" w:cstheme="minorHAnsi"/>
          <w:sz w:val="22"/>
        </w:rPr>
        <w:t>informe, se</w:t>
      </w:r>
      <w:r w:rsidR="00486351" w:rsidRPr="008657F1">
        <w:rPr>
          <w:rFonts w:asciiTheme="minorHAnsi" w:eastAsia="MS Gothic" w:hAnsiTheme="minorHAnsi" w:cstheme="minorHAnsi"/>
          <w:sz w:val="22"/>
        </w:rPr>
        <w:t xml:space="preserve"> considera para efectos de la valoración de </w:t>
      </w:r>
      <w:r w:rsidRPr="008657F1">
        <w:rPr>
          <w:rFonts w:asciiTheme="minorHAnsi" w:eastAsia="MS Gothic" w:hAnsiTheme="minorHAnsi" w:cstheme="minorHAnsi"/>
          <w:sz w:val="22"/>
        </w:rPr>
        <w:t xml:space="preserve">las </w:t>
      </w:r>
      <w:r w:rsidR="00486351" w:rsidRPr="008657F1">
        <w:rPr>
          <w:rFonts w:asciiTheme="minorHAnsi" w:eastAsia="MS Gothic" w:hAnsiTheme="minorHAnsi" w:cstheme="minorHAnsi"/>
          <w:sz w:val="22"/>
        </w:rPr>
        <w:t>recomendaciones</w:t>
      </w:r>
      <w:r w:rsidRPr="008657F1">
        <w:rPr>
          <w:rFonts w:asciiTheme="minorHAnsi" w:eastAsia="MS Gothic" w:hAnsiTheme="minorHAnsi" w:cstheme="minorHAnsi"/>
          <w:sz w:val="22"/>
        </w:rPr>
        <w:t xml:space="preserve"> </w:t>
      </w:r>
      <w:r w:rsidR="00486351" w:rsidRPr="008657F1">
        <w:rPr>
          <w:rFonts w:asciiTheme="minorHAnsi" w:eastAsia="MS Gothic" w:hAnsiTheme="minorHAnsi" w:cstheme="minorHAnsi"/>
          <w:sz w:val="22"/>
        </w:rPr>
        <w:t>del presente informe de ejecución del PEI al 31/12/2020.</w:t>
      </w:r>
    </w:p>
    <w:p w14:paraId="73AEFE0F" w14:textId="77777777" w:rsidR="00317D80" w:rsidRPr="00C04296" w:rsidRDefault="00317D80" w:rsidP="00317D80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</w:pPr>
    </w:p>
    <w:p w14:paraId="473F52FB" w14:textId="77777777" w:rsidR="00C04296" w:rsidRPr="00C04296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635F3794" w14:textId="77777777" w:rsidR="00C04296" w:rsidRPr="00C04296" w:rsidRDefault="00C04296" w:rsidP="00C04296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smallCaps/>
          <w:sz w:val="26"/>
          <w:szCs w:val="26"/>
          <w:lang w:eastAsia="es-ES"/>
        </w:rPr>
      </w:pPr>
      <w:r w:rsidRPr="00C04296">
        <w:rPr>
          <w:rFonts w:asciiTheme="minorHAnsi" w:eastAsia="Times New Roman" w:hAnsiTheme="minorHAnsi" w:cstheme="minorHAnsi"/>
          <w:b/>
          <w:smallCaps/>
          <w:sz w:val="26"/>
          <w:szCs w:val="26"/>
          <w:lang w:eastAsia="es-ES"/>
        </w:rPr>
        <w:t xml:space="preserve">Alcance y Metodología </w:t>
      </w:r>
    </w:p>
    <w:p w14:paraId="56E42525" w14:textId="77777777" w:rsidR="00C04296" w:rsidRPr="00C04296" w:rsidRDefault="00C04296" w:rsidP="00C04296">
      <w:p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b/>
          <w:smallCaps/>
          <w:sz w:val="26"/>
          <w:szCs w:val="26"/>
          <w:lang w:eastAsia="es-ES"/>
        </w:rPr>
      </w:pPr>
    </w:p>
    <w:p w14:paraId="0971EA5D" w14:textId="77777777" w:rsidR="00C04296" w:rsidRPr="00C04296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val="es-MX" w:eastAsia="es-ES"/>
        </w:rPr>
      </w:pPr>
      <w:r w:rsidRPr="00C04296">
        <w:rPr>
          <w:rFonts w:asciiTheme="minorHAnsi" w:eastAsia="Times New Roman" w:hAnsiTheme="minorHAnsi" w:cstheme="minorHAnsi"/>
          <w:sz w:val="22"/>
          <w:lang w:val="es-ES" w:eastAsia="es-ES"/>
        </w:rPr>
        <w:t>Este</w:t>
      </w:r>
      <w:r w:rsidRPr="00C04296">
        <w:rPr>
          <w:rFonts w:asciiTheme="minorHAnsi" w:eastAsia="Times New Roman" w:hAnsiTheme="minorHAnsi" w:cstheme="minorHAnsi"/>
          <w:sz w:val="22"/>
          <w:lang w:val="es-MX" w:eastAsia="es-ES"/>
        </w:rPr>
        <w:t xml:space="preserve"> plan está conformado por 4 perspectivas: Capacidad Organizacional, Procesos Internos, Grupos de interés y Financiera; cada una con un peso del 25% y estas conformadas </w:t>
      </w:r>
      <w:r w:rsidRPr="00C04296">
        <w:rPr>
          <w:rFonts w:asciiTheme="minorHAnsi" w:eastAsiaTheme="minorEastAsia" w:hAnsiTheme="minorHAnsi"/>
          <w:kern w:val="24"/>
          <w:sz w:val="22"/>
          <w:lang w:val="es-MX" w:eastAsia="es-CR"/>
        </w:rPr>
        <w:t>por 18 objetivos y estos por sus indicadores y metas</w:t>
      </w:r>
      <w:r w:rsidRPr="00C04296">
        <w:rPr>
          <w:rFonts w:asciiTheme="minorHAnsi" w:eastAsia="Times New Roman" w:hAnsiTheme="minorHAnsi" w:cstheme="minorHAnsi"/>
          <w:sz w:val="22"/>
          <w:lang w:val="es-MX" w:eastAsia="es-ES"/>
        </w:rPr>
        <w:t>.</w:t>
      </w:r>
    </w:p>
    <w:p w14:paraId="7238B72B" w14:textId="77777777" w:rsidR="00C04296" w:rsidRPr="00C04296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val="es-MX" w:eastAsia="es-ES"/>
        </w:rPr>
      </w:pPr>
    </w:p>
    <w:p w14:paraId="04D7CE1B" w14:textId="0257A795" w:rsidR="00C04296" w:rsidRDefault="00C04296" w:rsidP="00C04296">
      <w:pPr>
        <w:spacing w:after="0" w:line="240" w:lineRule="auto"/>
        <w:jc w:val="both"/>
        <w:rPr>
          <w:rFonts w:ascii="Calibri" w:eastAsia="Times New Roman" w:hAnsi="Calibri" w:cs="Calibri"/>
          <w:sz w:val="22"/>
          <w:lang w:eastAsia="es-CR"/>
        </w:rPr>
      </w:pPr>
      <w:r w:rsidRPr="00C04296">
        <w:rPr>
          <w:rFonts w:ascii="Calibri" w:eastAsia="Times New Roman" w:hAnsi="Calibri" w:cs="Calibri"/>
          <w:sz w:val="22"/>
          <w:lang w:eastAsia="es-CR"/>
        </w:rPr>
        <w:t>Los resultados que se presentan en este informe corresponden al cumplimiento de metas del PEI que se realizó con corte al 31 de diciembre del 20</w:t>
      </w:r>
      <w:r w:rsidR="00A208E5">
        <w:rPr>
          <w:rFonts w:ascii="Calibri" w:eastAsia="Times New Roman" w:hAnsi="Calibri" w:cs="Calibri"/>
          <w:sz w:val="22"/>
          <w:lang w:eastAsia="es-CR"/>
        </w:rPr>
        <w:t>20</w:t>
      </w:r>
      <w:r w:rsidRPr="00C04296">
        <w:rPr>
          <w:rFonts w:ascii="Calibri" w:eastAsia="Times New Roman" w:hAnsi="Calibri" w:cs="Calibri"/>
          <w:sz w:val="22"/>
          <w:lang w:eastAsia="es-CR"/>
        </w:rPr>
        <w:t>, de conformidad con la información brindada por las dependencias del Banco involucradas y el cumplimiento de metas del plan operativo del 20</w:t>
      </w:r>
      <w:r w:rsidR="00A208E5">
        <w:rPr>
          <w:rFonts w:ascii="Calibri" w:eastAsia="Times New Roman" w:hAnsi="Calibri" w:cs="Calibri"/>
          <w:sz w:val="22"/>
          <w:lang w:eastAsia="es-CR"/>
        </w:rPr>
        <w:t>20</w:t>
      </w:r>
      <w:r w:rsidRPr="00C04296">
        <w:rPr>
          <w:rFonts w:ascii="Calibri" w:eastAsia="Times New Roman" w:hAnsi="Calibri" w:cs="Calibri"/>
          <w:sz w:val="22"/>
          <w:lang w:eastAsia="es-CR"/>
        </w:rPr>
        <w:t xml:space="preserve">. </w:t>
      </w:r>
    </w:p>
    <w:p w14:paraId="77C4B719" w14:textId="50B12E39" w:rsidR="00317D80" w:rsidRDefault="00317D80" w:rsidP="00C04296">
      <w:pPr>
        <w:spacing w:after="0" w:line="240" w:lineRule="auto"/>
        <w:jc w:val="both"/>
        <w:rPr>
          <w:rFonts w:ascii="Calibri" w:eastAsia="Times New Roman" w:hAnsi="Calibri" w:cs="Calibri"/>
          <w:sz w:val="22"/>
          <w:lang w:eastAsia="es-CR"/>
        </w:rPr>
      </w:pPr>
    </w:p>
    <w:p w14:paraId="4A2FC91B" w14:textId="55956563" w:rsidR="00C04296" w:rsidRPr="00C04296" w:rsidRDefault="00E44934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</w:pPr>
      <w:r w:rsidRPr="00C04296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>De acuerdo con</w:t>
      </w:r>
      <w:r w:rsidR="00C04296" w:rsidRPr="00C04296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 xml:space="preserve"> la estrategia de seguimiento definida para este plan, los porcentajes de cumplimiento que se vayan alcanzando en la composición de cada perspectiva estratégica serán ubicados según los siguientes rangos: </w:t>
      </w:r>
    </w:p>
    <w:p w14:paraId="2642EE2C" w14:textId="77777777" w:rsidR="00C04296" w:rsidRPr="00C04296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8"/>
          <w:szCs w:val="8"/>
          <w:lang w:val="es-ES" w:eastAsia="es-ES"/>
        </w:rPr>
      </w:pPr>
    </w:p>
    <w:p w14:paraId="70B7CDE5" w14:textId="77777777" w:rsidR="00C04296" w:rsidRPr="00C04296" w:rsidRDefault="00C04296" w:rsidP="00C04296">
      <w:pPr>
        <w:spacing w:after="0" w:line="240" w:lineRule="auto"/>
        <w:jc w:val="center"/>
        <w:rPr>
          <w:rFonts w:asciiTheme="minorHAnsi" w:eastAsia="Times New Roman" w:hAnsiTheme="minorHAnsi" w:cstheme="minorHAnsi"/>
          <w:sz w:val="14"/>
          <w:szCs w:val="14"/>
          <w:lang w:val="es-ES" w:eastAsia="es-ES"/>
        </w:rPr>
      </w:pPr>
    </w:p>
    <w:p w14:paraId="5662C812" w14:textId="245E21E0" w:rsidR="00C04296" w:rsidRPr="00C04296" w:rsidRDefault="00C04296" w:rsidP="00C042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mallCaps/>
          <w:szCs w:val="23"/>
          <w:lang w:val="es-MX" w:eastAsia="es-ES"/>
        </w:rPr>
      </w:pPr>
      <w:r w:rsidRPr="00C04296">
        <w:rPr>
          <w:rFonts w:asciiTheme="minorHAnsi" w:eastAsia="Times New Roman" w:hAnsiTheme="minorHAnsi" w:cstheme="minorHAnsi"/>
          <w:sz w:val="14"/>
          <w:szCs w:val="14"/>
          <w:lang w:val="es-ES" w:eastAsia="es-ES"/>
        </w:rPr>
        <w:t xml:space="preserve"> </w:t>
      </w:r>
      <w:r w:rsidRPr="00C04296">
        <w:rPr>
          <w:rFonts w:asciiTheme="minorHAnsi" w:eastAsia="Times New Roman" w:hAnsiTheme="minorHAnsi" w:cstheme="minorHAnsi"/>
          <w:b/>
          <w:smallCaps/>
          <w:szCs w:val="23"/>
          <w:lang w:val="es-MX" w:eastAsia="es-ES"/>
        </w:rPr>
        <w:t xml:space="preserve">Cuadro </w:t>
      </w:r>
      <w:r w:rsidR="008163C0">
        <w:rPr>
          <w:rFonts w:asciiTheme="minorHAnsi" w:eastAsia="Times New Roman" w:hAnsiTheme="minorHAnsi" w:cstheme="minorHAnsi"/>
          <w:b/>
          <w:smallCaps/>
          <w:szCs w:val="23"/>
          <w:lang w:val="es-MX" w:eastAsia="es-ES"/>
        </w:rPr>
        <w:t>1</w:t>
      </w:r>
    </w:p>
    <w:p w14:paraId="26A23A60" w14:textId="77777777" w:rsidR="00C04296" w:rsidRPr="00C04296" w:rsidRDefault="00C04296" w:rsidP="00C04296">
      <w:pPr>
        <w:spacing w:after="0" w:line="240" w:lineRule="auto"/>
        <w:jc w:val="center"/>
        <w:rPr>
          <w:rFonts w:asciiTheme="minorHAnsi" w:eastAsia="Times New Roman" w:hAnsiTheme="minorHAnsi" w:cstheme="minorHAnsi"/>
          <w:sz w:val="14"/>
          <w:szCs w:val="14"/>
          <w:lang w:val="es-ES" w:eastAsia="es-ES"/>
        </w:rPr>
      </w:pPr>
      <w:r w:rsidRPr="00C04296">
        <w:rPr>
          <w:rFonts w:asciiTheme="minorHAnsi" w:eastAsia="Times New Roman" w:hAnsiTheme="minorHAnsi" w:cstheme="minorHAnsi"/>
          <w:b/>
          <w:smallCaps/>
          <w:szCs w:val="23"/>
          <w:lang w:val="es-MX" w:eastAsia="es-ES"/>
        </w:rPr>
        <w:t xml:space="preserve">Rango de Medición </w:t>
      </w:r>
    </w:p>
    <w:tbl>
      <w:tblPr>
        <w:tblStyle w:val="Tablaconcuadrcula"/>
        <w:tblpPr w:leftFromText="141" w:rightFromText="141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1908"/>
        <w:gridCol w:w="1909"/>
        <w:gridCol w:w="2245"/>
      </w:tblGrid>
      <w:tr w:rsidR="00C04296" w:rsidRPr="00C04296" w14:paraId="54B76668" w14:textId="77777777" w:rsidTr="00E44934">
        <w:tc>
          <w:tcPr>
            <w:tcW w:w="1908" w:type="dxa"/>
            <w:shd w:val="clear" w:color="auto" w:fill="C6D9F1" w:themeFill="text2" w:themeFillTint="33"/>
            <w:vAlign w:val="center"/>
          </w:tcPr>
          <w:p w14:paraId="38A63491" w14:textId="77777777" w:rsidR="00C04296" w:rsidRPr="00C04296" w:rsidRDefault="00C04296" w:rsidP="00C0429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3"/>
                <w:szCs w:val="23"/>
                <w:lang w:val="es-ES" w:eastAsia="es-ES"/>
              </w:rPr>
            </w:pPr>
            <w:r w:rsidRPr="00C04296">
              <w:rPr>
                <w:rFonts w:asciiTheme="minorHAnsi" w:hAnsiTheme="minorHAnsi" w:cstheme="minorHAnsi"/>
                <w:b/>
                <w:color w:val="000000"/>
                <w:sz w:val="23"/>
                <w:szCs w:val="23"/>
                <w:lang w:val="es-ES" w:eastAsia="es-ES"/>
              </w:rPr>
              <w:t>Excelente</w:t>
            </w:r>
          </w:p>
        </w:tc>
        <w:tc>
          <w:tcPr>
            <w:tcW w:w="1909" w:type="dxa"/>
            <w:shd w:val="clear" w:color="auto" w:fill="C6D9F1" w:themeFill="text2" w:themeFillTint="33"/>
            <w:vAlign w:val="center"/>
          </w:tcPr>
          <w:p w14:paraId="5B3B6149" w14:textId="77777777" w:rsidR="00C04296" w:rsidRPr="00C04296" w:rsidRDefault="00C04296" w:rsidP="00C0429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3"/>
                <w:szCs w:val="23"/>
                <w:lang w:val="es-ES" w:eastAsia="es-ES"/>
              </w:rPr>
            </w:pPr>
            <w:r w:rsidRPr="00C04296">
              <w:rPr>
                <w:rFonts w:asciiTheme="minorHAnsi" w:hAnsiTheme="minorHAnsi" w:cstheme="minorHAnsi"/>
                <w:b/>
                <w:color w:val="000000"/>
                <w:sz w:val="23"/>
                <w:szCs w:val="23"/>
                <w:lang w:val="es-ES" w:eastAsia="es-ES"/>
              </w:rPr>
              <w:t>Aceptable</w:t>
            </w:r>
          </w:p>
        </w:tc>
        <w:tc>
          <w:tcPr>
            <w:tcW w:w="2245" w:type="dxa"/>
            <w:shd w:val="clear" w:color="auto" w:fill="C6D9F1" w:themeFill="text2" w:themeFillTint="33"/>
            <w:vAlign w:val="center"/>
          </w:tcPr>
          <w:p w14:paraId="101019B8" w14:textId="77777777" w:rsidR="00C04296" w:rsidRPr="00C04296" w:rsidRDefault="00C04296" w:rsidP="00C0429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3"/>
                <w:szCs w:val="23"/>
                <w:lang w:val="es-ES" w:eastAsia="es-ES"/>
              </w:rPr>
            </w:pPr>
            <w:r w:rsidRPr="00C04296">
              <w:rPr>
                <w:rFonts w:asciiTheme="minorHAnsi" w:hAnsiTheme="minorHAnsi" w:cstheme="minorHAnsi"/>
                <w:b/>
                <w:color w:val="000000"/>
                <w:sz w:val="23"/>
                <w:szCs w:val="23"/>
                <w:lang w:val="es-ES" w:eastAsia="es-ES"/>
              </w:rPr>
              <w:t>Necesidad de Mejora</w:t>
            </w:r>
          </w:p>
        </w:tc>
      </w:tr>
      <w:tr w:rsidR="00C04296" w:rsidRPr="00C04296" w14:paraId="28005D42" w14:textId="77777777" w:rsidTr="00E44934">
        <w:trPr>
          <w:trHeight w:val="318"/>
        </w:trPr>
        <w:tc>
          <w:tcPr>
            <w:tcW w:w="1908" w:type="dxa"/>
          </w:tcPr>
          <w:p w14:paraId="1AE09753" w14:textId="77777777" w:rsidR="00C04296" w:rsidRPr="00C04296" w:rsidRDefault="00C04296" w:rsidP="00C04296">
            <w:pPr>
              <w:jc w:val="both"/>
              <w:rPr>
                <w:rFonts w:asciiTheme="minorHAnsi" w:hAnsiTheme="minorHAnsi" w:cstheme="minorHAnsi"/>
                <w:color w:val="000000"/>
                <w:sz w:val="23"/>
                <w:szCs w:val="23"/>
                <w:lang w:val="es-ES" w:eastAsia="es-ES"/>
              </w:rPr>
            </w:pPr>
            <w:r w:rsidRPr="00C04296">
              <w:rPr>
                <w:rFonts w:asciiTheme="minorHAnsi" w:hAnsiTheme="minorHAnsi" w:cstheme="minorHAnsi"/>
                <w:noProof/>
                <w:color w:val="000000"/>
                <w:sz w:val="23"/>
                <w:szCs w:val="23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1D101B" wp14:editId="01FFC6E3">
                      <wp:simplePos x="0" y="0"/>
                      <wp:positionH relativeFrom="column">
                        <wp:posOffset>437696</wp:posOffset>
                      </wp:positionH>
                      <wp:positionV relativeFrom="paragraph">
                        <wp:posOffset>7439</wp:posOffset>
                      </wp:positionV>
                      <wp:extent cx="174172" cy="146957"/>
                      <wp:effectExtent l="0" t="0" r="16510" b="24765"/>
                      <wp:wrapNone/>
                      <wp:docPr id="4" name="4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172" cy="1469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25400" cap="flat" cmpd="sng" algn="ctr">
                                <a:solidFill>
                                  <a:srgbClr val="92D05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3AEE477" id="4 Elipse" o:spid="_x0000_s1026" style="position:absolute;margin-left:34.45pt;margin-top:.6pt;width:13.7pt;height:11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" fillcolor="#92d050" strokecolor="#92d050" strokeweight="2pt"/>
                  </w:pict>
                </mc:Fallback>
              </mc:AlternateContent>
            </w:r>
          </w:p>
        </w:tc>
        <w:tc>
          <w:tcPr>
            <w:tcW w:w="1909" w:type="dxa"/>
          </w:tcPr>
          <w:p w14:paraId="351A0213" w14:textId="77777777" w:rsidR="00C04296" w:rsidRPr="00C04296" w:rsidRDefault="00C04296" w:rsidP="00C04296">
            <w:pPr>
              <w:jc w:val="both"/>
              <w:rPr>
                <w:rFonts w:asciiTheme="minorHAnsi" w:hAnsiTheme="minorHAnsi" w:cstheme="minorHAnsi"/>
                <w:color w:val="000000"/>
                <w:sz w:val="23"/>
                <w:szCs w:val="23"/>
                <w:lang w:val="es-ES" w:eastAsia="es-ES"/>
              </w:rPr>
            </w:pPr>
            <w:r w:rsidRPr="00C04296">
              <w:rPr>
                <w:rFonts w:asciiTheme="minorHAnsi" w:hAnsiTheme="minorHAnsi" w:cstheme="minorHAnsi"/>
                <w:noProof/>
                <w:color w:val="000000"/>
                <w:sz w:val="23"/>
                <w:szCs w:val="23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7D954E" wp14:editId="08D5BCF0">
                      <wp:simplePos x="0" y="0"/>
                      <wp:positionH relativeFrom="column">
                        <wp:posOffset>439874</wp:posOffset>
                      </wp:positionH>
                      <wp:positionV relativeFrom="paragraph">
                        <wp:posOffset>7439</wp:posOffset>
                      </wp:positionV>
                      <wp:extent cx="185057" cy="146685"/>
                      <wp:effectExtent l="0" t="0" r="24765" b="24765"/>
                      <wp:wrapNone/>
                      <wp:docPr id="7" name="7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057" cy="1466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FFFF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649A0D8" id="7 Elipse" o:spid="_x0000_s1026" style="position:absolute;margin-left:34.65pt;margin-top:.6pt;width:14.55pt;height:11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" fillcolor="yellow" strokecolor="yellow" strokeweight="2pt"/>
                  </w:pict>
                </mc:Fallback>
              </mc:AlternateContent>
            </w:r>
          </w:p>
        </w:tc>
        <w:tc>
          <w:tcPr>
            <w:tcW w:w="2245" w:type="dxa"/>
          </w:tcPr>
          <w:p w14:paraId="41CE7236" w14:textId="77777777" w:rsidR="00C04296" w:rsidRPr="00C04296" w:rsidRDefault="00C04296" w:rsidP="00C04296">
            <w:pPr>
              <w:jc w:val="both"/>
              <w:rPr>
                <w:rFonts w:asciiTheme="minorHAnsi" w:hAnsiTheme="minorHAnsi" w:cstheme="minorHAnsi"/>
                <w:color w:val="000000"/>
                <w:sz w:val="23"/>
                <w:szCs w:val="23"/>
                <w:lang w:val="es-ES" w:eastAsia="es-ES"/>
              </w:rPr>
            </w:pPr>
            <w:r w:rsidRPr="00C04296">
              <w:rPr>
                <w:rFonts w:asciiTheme="minorHAnsi" w:hAnsiTheme="minorHAnsi" w:cstheme="minorHAnsi"/>
                <w:noProof/>
                <w:color w:val="000000"/>
                <w:sz w:val="23"/>
                <w:szCs w:val="23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BE0760" wp14:editId="372DAC97">
                      <wp:simplePos x="0" y="0"/>
                      <wp:positionH relativeFrom="column">
                        <wp:posOffset>490401</wp:posOffset>
                      </wp:positionH>
                      <wp:positionV relativeFrom="paragraph">
                        <wp:posOffset>7439</wp:posOffset>
                      </wp:positionV>
                      <wp:extent cx="163286" cy="146685"/>
                      <wp:effectExtent l="0" t="0" r="27305" b="24765"/>
                      <wp:wrapNone/>
                      <wp:docPr id="8" name="8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286" cy="1466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E347B6F" id="8 Elipse" o:spid="_x0000_s1026" style="position:absolute;margin-left:38.6pt;margin-top:.6pt;width:12.85pt;height:11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" fillcolor="red" strokecolor="red" strokeweight="2pt"/>
                  </w:pict>
                </mc:Fallback>
              </mc:AlternateContent>
            </w:r>
          </w:p>
        </w:tc>
      </w:tr>
      <w:tr w:rsidR="00C04296" w:rsidRPr="00C04296" w14:paraId="2D9F3D13" w14:textId="77777777" w:rsidTr="00E44934">
        <w:tc>
          <w:tcPr>
            <w:tcW w:w="1908" w:type="dxa"/>
          </w:tcPr>
          <w:p w14:paraId="31066613" w14:textId="77777777" w:rsidR="00C04296" w:rsidRPr="00C04296" w:rsidRDefault="00C04296" w:rsidP="00C04296">
            <w:pPr>
              <w:jc w:val="center"/>
              <w:rPr>
                <w:rFonts w:asciiTheme="minorHAnsi" w:hAnsiTheme="minorHAnsi" w:cstheme="minorHAnsi"/>
                <w:color w:val="000000"/>
                <w:sz w:val="23"/>
                <w:szCs w:val="23"/>
                <w:lang w:val="es-ES" w:eastAsia="es-ES"/>
              </w:rPr>
            </w:pPr>
            <w:r w:rsidRPr="00C04296">
              <w:rPr>
                <w:rFonts w:asciiTheme="minorHAnsi" w:hAnsiTheme="minorHAnsi" w:cstheme="minorHAnsi"/>
                <w:color w:val="000000"/>
                <w:sz w:val="23"/>
                <w:szCs w:val="23"/>
                <w:lang w:val="es-ES" w:eastAsia="es-ES"/>
              </w:rPr>
              <w:t>&gt;90%</w:t>
            </w:r>
          </w:p>
        </w:tc>
        <w:tc>
          <w:tcPr>
            <w:tcW w:w="1909" w:type="dxa"/>
          </w:tcPr>
          <w:p w14:paraId="5D86AA1D" w14:textId="77777777" w:rsidR="00C04296" w:rsidRPr="00C04296" w:rsidRDefault="00C04296" w:rsidP="00C04296">
            <w:pPr>
              <w:jc w:val="center"/>
              <w:rPr>
                <w:rFonts w:asciiTheme="minorHAnsi" w:hAnsiTheme="minorHAnsi" w:cstheme="minorHAnsi"/>
                <w:color w:val="000000"/>
                <w:sz w:val="23"/>
                <w:szCs w:val="23"/>
                <w:lang w:val="es-ES" w:eastAsia="es-ES"/>
              </w:rPr>
            </w:pPr>
            <w:r w:rsidRPr="00C04296">
              <w:rPr>
                <w:rFonts w:asciiTheme="minorHAnsi" w:hAnsiTheme="minorHAnsi" w:cstheme="minorHAnsi"/>
                <w:color w:val="000000"/>
                <w:sz w:val="23"/>
                <w:szCs w:val="23"/>
                <w:lang w:val="es-ES" w:eastAsia="es-ES"/>
              </w:rPr>
              <w:t>89 – 75%</w:t>
            </w:r>
          </w:p>
        </w:tc>
        <w:tc>
          <w:tcPr>
            <w:tcW w:w="2245" w:type="dxa"/>
          </w:tcPr>
          <w:p w14:paraId="1238F1C1" w14:textId="77777777" w:rsidR="00C04296" w:rsidRPr="00C04296" w:rsidRDefault="00C04296" w:rsidP="00C04296">
            <w:pPr>
              <w:jc w:val="center"/>
              <w:rPr>
                <w:rFonts w:asciiTheme="minorHAnsi" w:hAnsiTheme="minorHAnsi" w:cstheme="minorHAnsi"/>
                <w:color w:val="000000"/>
                <w:sz w:val="23"/>
                <w:szCs w:val="23"/>
                <w:lang w:val="es-ES" w:eastAsia="es-ES"/>
              </w:rPr>
            </w:pPr>
            <w:r w:rsidRPr="00C04296">
              <w:rPr>
                <w:rFonts w:asciiTheme="minorHAnsi" w:hAnsiTheme="minorHAnsi" w:cstheme="minorHAnsi"/>
                <w:color w:val="000000"/>
                <w:sz w:val="23"/>
                <w:szCs w:val="23"/>
                <w:lang w:val="es-ES" w:eastAsia="es-ES"/>
              </w:rPr>
              <w:t>&lt; 74%</w:t>
            </w:r>
          </w:p>
        </w:tc>
      </w:tr>
    </w:tbl>
    <w:p w14:paraId="50F6D213" w14:textId="77777777" w:rsidR="00C04296" w:rsidRPr="00C04296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14"/>
          <w:szCs w:val="14"/>
          <w:lang w:val="es-ES" w:eastAsia="es-ES"/>
        </w:rPr>
      </w:pPr>
    </w:p>
    <w:p w14:paraId="27E60A61" w14:textId="77777777" w:rsidR="00C04296" w:rsidRPr="00C04296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23"/>
          <w:szCs w:val="23"/>
          <w:lang w:val="es-ES" w:eastAsia="es-ES"/>
        </w:rPr>
      </w:pPr>
    </w:p>
    <w:p w14:paraId="3F28FF29" w14:textId="77777777" w:rsidR="00C04296" w:rsidRPr="00C04296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23"/>
          <w:szCs w:val="23"/>
          <w:lang w:val="es-ES" w:eastAsia="es-ES"/>
        </w:rPr>
      </w:pPr>
    </w:p>
    <w:p w14:paraId="22D18C28" w14:textId="77777777" w:rsidR="00C04296" w:rsidRPr="00C04296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23"/>
          <w:szCs w:val="23"/>
          <w:lang w:val="es-ES" w:eastAsia="es-ES"/>
        </w:rPr>
      </w:pPr>
    </w:p>
    <w:p w14:paraId="5BFAA037" w14:textId="77777777" w:rsidR="00C04296" w:rsidRPr="00C04296" w:rsidRDefault="00C04296" w:rsidP="00C04296">
      <w:pPr>
        <w:spacing w:after="0" w:line="240" w:lineRule="auto"/>
        <w:ind w:left="1416"/>
        <w:rPr>
          <w:rFonts w:asciiTheme="minorHAnsi" w:eastAsia="Times New Roman" w:hAnsiTheme="minorHAnsi" w:cstheme="minorHAnsi"/>
          <w:b/>
          <w:sz w:val="18"/>
          <w:szCs w:val="23"/>
          <w:lang w:val="es-ES" w:eastAsia="es-ES"/>
        </w:rPr>
      </w:pPr>
      <w:r w:rsidRPr="00C04296">
        <w:rPr>
          <w:rFonts w:asciiTheme="minorHAnsi" w:eastAsia="Times New Roman" w:hAnsiTheme="minorHAnsi" w:cstheme="minorHAnsi"/>
          <w:b/>
          <w:sz w:val="18"/>
          <w:szCs w:val="23"/>
          <w:lang w:val="es-ES" w:eastAsia="es-ES"/>
        </w:rPr>
        <w:t xml:space="preserve">  </w:t>
      </w:r>
    </w:p>
    <w:p w14:paraId="38E134F9" w14:textId="77777777" w:rsidR="00C04296" w:rsidRPr="00C04296" w:rsidRDefault="00C04296" w:rsidP="00C04296">
      <w:pPr>
        <w:spacing w:after="0" w:line="240" w:lineRule="auto"/>
        <w:ind w:left="1416"/>
        <w:rPr>
          <w:rFonts w:asciiTheme="minorHAnsi" w:eastAsia="Times New Roman" w:hAnsiTheme="minorHAnsi" w:cstheme="minorHAnsi"/>
          <w:sz w:val="23"/>
          <w:szCs w:val="23"/>
          <w:lang w:val="es-ES" w:eastAsia="es-ES"/>
        </w:rPr>
      </w:pPr>
      <w:r w:rsidRPr="00C04296">
        <w:rPr>
          <w:rFonts w:asciiTheme="minorHAnsi" w:eastAsia="Times New Roman" w:hAnsiTheme="minorHAnsi" w:cstheme="minorHAnsi"/>
          <w:b/>
          <w:sz w:val="18"/>
          <w:szCs w:val="23"/>
          <w:lang w:val="es-ES" w:eastAsia="es-ES"/>
        </w:rPr>
        <w:t xml:space="preserve"> </w:t>
      </w:r>
      <w:r w:rsidRPr="00C04296">
        <w:rPr>
          <w:rFonts w:asciiTheme="minorHAnsi" w:eastAsia="Times New Roman" w:hAnsiTheme="minorHAnsi" w:cstheme="minorHAnsi"/>
          <w:sz w:val="16"/>
          <w:szCs w:val="23"/>
          <w:lang w:val="es-ES" w:eastAsia="es-ES"/>
        </w:rPr>
        <w:t>Fuente: Plan Estratégico Institucional 2016-2020</w:t>
      </w:r>
    </w:p>
    <w:p w14:paraId="2619B2EA" w14:textId="77777777" w:rsidR="00C04296" w:rsidRPr="00C04296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23"/>
          <w:szCs w:val="23"/>
          <w:lang w:val="es-ES" w:eastAsia="es-ES"/>
        </w:rPr>
      </w:pPr>
    </w:p>
    <w:p w14:paraId="44324D5B" w14:textId="77777777" w:rsidR="00985575" w:rsidRDefault="00985575" w:rsidP="00985575">
      <w:p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b/>
          <w:smallCaps/>
          <w:sz w:val="26"/>
          <w:szCs w:val="26"/>
          <w:lang w:eastAsia="es-ES"/>
        </w:rPr>
      </w:pPr>
    </w:p>
    <w:p w14:paraId="42F17AFF" w14:textId="16AE9FBA" w:rsidR="00C04296" w:rsidRPr="00C04296" w:rsidRDefault="00C04296" w:rsidP="00C04296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smallCaps/>
          <w:sz w:val="26"/>
          <w:szCs w:val="26"/>
          <w:lang w:eastAsia="es-ES"/>
        </w:rPr>
      </w:pPr>
      <w:r w:rsidRPr="00C04296">
        <w:rPr>
          <w:rFonts w:asciiTheme="minorHAnsi" w:eastAsia="Times New Roman" w:hAnsiTheme="minorHAnsi" w:cstheme="minorHAnsi"/>
          <w:b/>
          <w:smallCaps/>
          <w:sz w:val="26"/>
          <w:szCs w:val="26"/>
          <w:lang w:eastAsia="es-ES"/>
        </w:rPr>
        <w:t xml:space="preserve">Resultados </w:t>
      </w:r>
    </w:p>
    <w:p w14:paraId="4508671F" w14:textId="77777777" w:rsidR="00C04296" w:rsidRPr="00C04296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23"/>
          <w:szCs w:val="23"/>
          <w:lang w:val="es-ES" w:eastAsia="es-ES"/>
        </w:rPr>
      </w:pPr>
    </w:p>
    <w:p w14:paraId="6E68EBF9" w14:textId="7A6D202A" w:rsidR="00C04296" w:rsidRPr="00C04296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</w:pPr>
      <w:r w:rsidRPr="00C04296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>De conformidad con la ejecución del Plan Estratégico Institucional 2016-2019 al 31 de diciembre 20</w:t>
      </w:r>
      <w:r w:rsidR="00D62283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>20</w:t>
      </w:r>
      <w:r w:rsidRPr="00C04296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 xml:space="preserve"> el resultado fue de un </w:t>
      </w:r>
      <w:r w:rsidR="004877C3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>7</w:t>
      </w:r>
      <w:r w:rsidR="00F60D4B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>6</w:t>
      </w:r>
      <w:r w:rsidRPr="00C04296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 xml:space="preserve">%, compuesto por la calificación obtenida en cada una de sus perspectivas; tal y como se muestra en la siguiente imagen: </w:t>
      </w:r>
    </w:p>
    <w:p w14:paraId="4A3195E2" w14:textId="77777777" w:rsidR="00C04296" w:rsidRPr="00C04296" w:rsidRDefault="00C04296" w:rsidP="00C042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mallCaps/>
          <w:szCs w:val="23"/>
          <w:lang w:val="es-MX" w:eastAsia="es-ES"/>
        </w:rPr>
      </w:pPr>
    </w:p>
    <w:p w14:paraId="592E8255" w14:textId="684AEB51" w:rsidR="00C04296" w:rsidRDefault="00C04296" w:rsidP="00C042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mallCaps/>
          <w:szCs w:val="23"/>
          <w:lang w:val="es-MX" w:eastAsia="es-ES"/>
        </w:rPr>
      </w:pPr>
    </w:p>
    <w:p w14:paraId="1D32669B" w14:textId="31971C87" w:rsidR="00C04296" w:rsidRDefault="00C04296" w:rsidP="00C042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mallCaps/>
          <w:szCs w:val="23"/>
          <w:lang w:val="es-MX" w:eastAsia="es-ES"/>
        </w:rPr>
      </w:pPr>
    </w:p>
    <w:p w14:paraId="6D625FC1" w14:textId="77777777" w:rsidR="00C04296" w:rsidRPr="00C04296" w:rsidRDefault="00C04296" w:rsidP="00C042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mallCaps/>
          <w:szCs w:val="23"/>
          <w:lang w:val="es-MX" w:eastAsia="es-ES"/>
        </w:rPr>
      </w:pPr>
      <w:r w:rsidRPr="00C04296">
        <w:rPr>
          <w:rFonts w:asciiTheme="minorHAnsi" w:eastAsia="Times New Roman" w:hAnsiTheme="minorHAnsi" w:cstheme="minorHAnsi"/>
          <w:b/>
          <w:smallCaps/>
          <w:szCs w:val="23"/>
          <w:lang w:val="es-MX" w:eastAsia="es-ES"/>
        </w:rPr>
        <w:t>Imagen 1</w:t>
      </w:r>
    </w:p>
    <w:p w14:paraId="720053AA" w14:textId="77777777" w:rsidR="00C04296" w:rsidRPr="00C04296" w:rsidRDefault="00C04296" w:rsidP="00C042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mallCaps/>
          <w:szCs w:val="23"/>
          <w:lang w:val="es-MX" w:eastAsia="es-ES"/>
        </w:rPr>
      </w:pPr>
      <w:r w:rsidRPr="00C04296">
        <w:rPr>
          <w:rFonts w:asciiTheme="minorHAnsi" w:eastAsia="Times New Roman" w:hAnsiTheme="minorHAnsi" w:cstheme="minorHAnsi"/>
          <w:b/>
          <w:smallCaps/>
          <w:szCs w:val="23"/>
          <w:lang w:val="es-MX" w:eastAsia="es-ES"/>
        </w:rPr>
        <w:t>Calificación del Plan Estratégico del BANHVI</w:t>
      </w:r>
    </w:p>
    <w:p w14:paraId="119697F9" w14:textId="77777777" w:rsidR="00C04296" w:rsidRPr="007C5A9E" w:rsidRDefault="00C04296" w:rsidP="00C042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mallCaps/>
          <w:sz w:val="10"/>
          <w:szCs w:val="10"/>
          <w:lang w:val="es-MX" w:eastAsia="es-ES"/>
        </w:rPr>
      </w:pPr>
    </w:p>
    <w:p w14:paraId="5950DEA2" w14:textId="77777777" w:rsidR="00C04296" w:rsidRPr="007C5A9E" w:rsidRDefault="00C04296" w:rsidP="00C042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mallCaps/>
          <w:sz w:val="8"/>
          <w:szCs w:val="8"/>
          <w:lang w:val="es-MX" w:eastAsia="es-ES"/>
        </w:rPr>
      </w:pPr>
    </w:p>
    <w:p w14:paraId="0E79C904" w14:textId="6EE1A81A" w:rsidR="00C04296" w:rsidRPr="00C04296" w:rsidRDefault="008A74C0" w:rsidP="00C04296">
      <w:pPr>
        <w:spacing w:after="0" w:line="240" w:lineRule="auto"/>
        <w:jc w:val="center"/>
        <w:rPr>
          <w:rFonts w:asciiTheme="minorHAnsi" w:eastAsia="Times New Roman" w:hAnsiTheme="minorHAnsi" w:cstheme="minorHAnsi"/>
          <w:sz w:val="23"/>
          <w:szCs w:val="23"/>
          <w:lang w:val="es-MX" w:eastAsia="es-ES"/>
        </w:rPr>
      </w:pPr>
      <w:r w:rsidRPr="008A74C0">
        <w:rPr>
          <w:noProof/>
        </w:rPr>
        <w:drawing>
          <wp:inline distT="0" distB="0" distL="0" distR="0" wp14:anchorId="76661966" wp14:editId="42D5570F">
            <wp:extent cx="5612130" cy="293814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93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161F6" w14:textId="77777777" w:rsidR="00C04296" w:rsidRPr="00C04296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val="es-MX" w:eastAsia="es-ES"/>
        </w:rPr>
      </w:pPr>
    </w:p>
    <w:p w14:paraId="37E91B58" w14:textId="6E24691D" w:rsidR="00C04296" w:rsidRPr="00C04296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</w:pPr>
      <w:r w:rsidRPr="00C04296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Del gráfico anterior, se puede ver que la Perspectiva Grupos de Interés y Financiera obtienen una calificación mayor del 90%</w:t>
      </w:r>
      <w:r w:rsidR="00E44934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,</w:t>
      </w:r>
      <w:r w:rsidRPr="00C04296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 ubicándose en el parámetro de medición “Excelente”; la perspectiva Procesos internos (</w:t>
      </w:r>
      <w:r w:rsidR="00E33835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52</w:t>
      </w:r>
      <w:r w:rsidRPr="00C04296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%), la perspectiva de Capacidad organizacional (</w:t>
      </w:r>
      <w:r w:rsidR="009F1FDB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66</w:t>
      </w:r>
      <w:r w:rsidRPr="00C04296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%) en el rango de Necesidad de Mejora.  </w:t>
      </w:r>
    </w:p>
    <w:p w14:paraId="04CAD0A5" w14:textId="77777777" w:rsidR="00C04296" w:rsidRPr="00C04296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val="es-MX" w:eastAsia="es-ES"/>
        </w:rPr>
      </w:pPr>
    </w:p>
    <w:p w14:paraId="73B2FCF7" w14:textId="4BB25D3A" w:rsidR="00C04296" w:rsidRPr="00C04296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</w:pPr>
      <w:r w:rsidRPr="00C04296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A </w:t>
      </w:r>
      <w:r w:rsidR="00E44934" w:rsidRPr="00C04296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continuación,</w:t>
      </w:r>
      <w:r w:rsidR="00E44934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 </w:t>
      </w:r>
      <w:r w:rsidRPr="00C04296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se presenta para cada objetivo un resumen de su ejecución al periodo evaluado: </w:t>
      </w:r>
    </w:p>
    <w:p w14:paraId="349F8452" w14:textId="19A05746" w:rsidR="00C04296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val="es-MX" w:eastAsia="es-ES"/>
        </w:rPr>
      </w:pPr>
    </w:p>
    <w:p w14:paraId="3740E6BB" w14:textId="77777777" w:rsidR="00985575" w:rsidRPr="00C04296" w:rsidRDefault="00985575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val="es-MX" w:eastAsia="es-ES"/>
        </w:rPr>
      </w:pPr>
    </w:p>
    <w:p w14:paraId="66A4098A" w14:textId="77777777" w:rsidR="00C04296" w:rsidRPr="00C04296" w:rsidRDefault="00C04296" w:rsidP="00B66740">
      <w:pPr>
        <w:numPr>
          <w:ilvl w:val="1"/>
          <w:numId w:val="9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smallCaps/>
          <w:sz w:val="26"/>
          <w:szCs w:val="26"/>
          <w:lang w:eastAsia="es-ES"/>
        </w:rPr>
      </w:pPr>
      <w:r w:rsidRPr="00C04296">
        <w:rPr>
          <w:rFonts w:asciiTheme="minorHAnsi" w:eastAsia="Times New Roman" w:hAnsiTheme="minorHAnsi" w:cstheme="minorHAnsi"/>
          <w:b/>
          <w:smallCaps/>
          <w:sz w:val="26"/>
          <w:szCs w:val="26"/>
          <w:lang w:eastAsia="es-ES"/>
        </w:rPr>
        <w:t xml:space="preserve"> Perspectiva Capacidad Organizacional </w:t>
      </w:r>
    </w:p>
    <w:p w14:paraId="3E0EE579" w14:textId="77777777" w:rsidR="00C04296" w:rsidRPr="00C04296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val="es-MX" w:eastAsia="es-ES"/>
        </w:rPr>
      </w:pPr>
    </w:p>
    <w:p w14:paraId="5C8633D7" w14:textId="0F526C14" w:rsidR="00C04296" w:rsidRPr="00C04296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</w:pPr>
      <w:r w:rsidRPr="00C04296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La calificación obtenida de esta perspectiva fue de un </w:t>
      </w:r>
      <w:r w:rsidR="00DA7AE9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6</w:t>
      </w:r>
      <w:r w:rsidR="003B3F70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7</w:t>
      </w:r>
      <w:r w:rsidRPr="00C04296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% y su cumplimiento se presenta en el siguiente cuadro:</w:t>
      </w:r>
    </w:p>
    <w:p w14:paraId="237F93A0" w14:textId="58C719EE" w:rsidR="00C04296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val="es-MX" w:eastAsia="es-ES"/>
        </w:rPr>
      </w:pPr>
    </w:p>
    <w:p w14:paraId="693AB7CB" w14:textId="0CA9DC03" w:rsidR="00985575" w:rsidRDefault="00985575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val="es-MX" w:eastAsia="es-ES"/>
        </w:rPr>
      </w:pPr>
    </w:p>
    <w:p w14:paraId="6B6A1CD4" w14:textId="60E0E4A1" w:rsidR="00985575" w:rsidRDefault="00985575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val="es-MX" w:eastAsia="es-ES"/>
        </w:rPr>
      </w:pPr>
    </w:p>
    <w:p w14:paraId="6E5554EF" w14:textId="4FE066A7" w:rsidR="00985575" w:rsidRDefault="00985575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val="es-MX" w:eastAsia="es-ES"/>
        </w:rPr>
      </w:pPr>
    </w:p>
    <w:p w14:paraId="039F843A" w14:textId="58CE6B08" w:rsidR="00985575" w:rsidRDefault="00985575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val="es-MX" w:eastAsia="es-ES"/>
        </w:rPr>
      </w:pPr>
    </w:p>
    <w:p w14:paraId="01ECFCFC" w14:textId="77777777" w:rsidR="00985575" w:rsidRPr="00C04296" w:rsidRDefault="00985575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val="es-MX" w:eastAsia="es-ES"/>
        </w:rPr>
      </w:pPr>
    </w:p>
    <w:p w14:paraId="704F36C4" w14:textId="0835ED62" w:rsidR="00C04296" w:rsidRPr="00C04296" w:rsidRDefault="00C04296" w:rsidP="00C042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mallCaps/>
          <w:sz w:val="22"/>
          <w:szCs w:val="23"/>
          <w:lang w:val="es-MX" w:eastAsia="es-ES"/>
        </w:rPr>
      </w:pPr>
      <w:r w:rsidRPr="00C04296">
        <w:rPr>
          <w:rFonts w:asciiTheme="minorHAnsi" w:eastAsia="Times New Roman" w:hAnsiTheme="minorHAnsi" w:cstheme="minorHAnsi"/>
          <w:b/>
          <w:smallCaps/>
          <w:sz w:val="22"/>
          <w:szCs w:val="23"/>
          <w:lang w:val="es-MX" w:eastAsia="es-ES"/>
        </w:rPr>
        <w:t xml:space="preserve">Cuadro </w:t>
      </w:r>
      <w:r w:rsidR="008163C0">
        <w:rPr>
          <w:rFonts w:asciiTheme="minorHAnsi" w:eastAsia="Times New Roman" w:hAnsiTheme="minorHAnsi" w:cstheme="minorHAnsi"/>
          <w:b/>
          <w:smallCaps/>
          <w:sz w:val="22"/>
          <w:szCs w:val="23"/>
          <w:lang w:val="es-MX" w:eastAsia="es-ES"/>
        </w:rPr>
        <w:t>2</w:t>
      </w:r>
    </w:p>
    <w:p w14:paraId="29F4EEA5" w14:textId="77777777" w:rsidR="00C04296" w:rsidRPr="00C04296" w:rsidRDefault="00C04296" w:rsidP="00C042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mallCaps/>
          <w:sz w:val="22"/>
          <w:szCs w:val="23"/>
          <w:lang w:val="es-MX" w:eastAsia="es-ES"/>
        </w:rPr>
      </w:pPr>
      <w:r w:rsidRPr="00C04296">
        <w:rPr>
          <w:rFonts w:asciiTheme="minorHAnsi" w:eastAsia="Times New Roman" w:hAnsiTheme="minorHAnsi" w:cstheme="minorHAnsi"/>
          <w:b/>
          <w:smallCaps/>
          <w:sz w:val="22"/>
          <w:szCs w:val="23"/>
          <w:lang w:val="es-MX" w:eastAsia="es-ES"/>
        </w:rPr>
        <w:t>Composición de la Perspectiva</w:t>
      </w:r>
    </w:p>
    <w:p w14:paraId="34740A15" w14:textId="77777777" w:rsidR="00C04296" w:rsidRPr="007C5A9E" w:rsidRDefault="00C04296" w:rsidP="00C042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mallCaps/>
          <w:sz w:val="10"/>
          <w:szCs w:val="10"/>
          <w:lang w:val="es-MX" w:eastAsia="es-ES"/>
        </w:rPr>
      </w:pPr>
    </w:p>
    <w:tbl>
      <w:tblPr>
        <w:tblW w:w="8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584"/>
        <w:gridCol w:w="1266"/>
        <w:gridCol w:w="1143"/>
        <w:gridCol w:w="1136"/>
      </w:tblGrid>
      <w:tr w:rsidR="002104E8" w:rsidRPr="00C04296" w14:paraId="1071A2A8" w14:textId="77777777" w:rsidTr="009B3DBD">
        <w:trPr>
          <w:trHeight w:val="377"/>
          <w:tblHeader/>
          <w:jc w:val="center"/>
        </w:trPr>
        <w:tc>
          <w:tcPr>
            <w:tcW w:w="2689" w:type="dxa"/>
            <w:shd w:val="clear" w:color="auto" w:fill="C6D9F1" w:themeFill="text2" w:themeFillTint="33"/>
            <w:vAlign w:val="center"/>
            <w:hideMark/>
          </w:tcPr>
          <w:p w14:paraId="62B38ECF" w14:textId="77777777" w:rsidR="002104E8" w:rsidRPr="00C04296" w:rsidRDefault="002104E8" w:rsidP="00C04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1"/>
                <w:szCs w:val="21"/>
                <w:lang w:eastAsia="es-CR"/>
              </w:rPr>
            </w:pPr>
            <w:r w:rsidRPr="00C04296">
              <w:rPr>
                <w:rFonts w:ascii="Calibri" w:eastAsia="Times New Roman" w:hAnsi="Calibri" w:cs="Times New Roman"/>
                <w:b/>
                <w:bCs/>
                <w:sz w:val="21"/>
                <w:szCs w:val="21"/>
                <w:lang w:eastAsia="es-CR"/>
              </w:rPr>
              <w:t>Objetivo Estratégico</w:t>
            </w:r>
          </w:p>
        </w:tc>
        <w:tc>
          <w:tcPr>
            <w:tcW w:w="2584" w:type="dxa"/>
            <w:shd w:val="clear" w:color="auto" w:fill="C6D9F1" w:themeFill="text2" w:themeFillTint="33"/>
            <w:vAlign w:val="center"/>
            <w:hideMark/>
          </w:tcPr>
          <w:p w14:paraId="1D7A8A78" w14:textId="77777777" w:rsidR="002104E8" w:rsidRPr="00C04296" w:rsidRDefault="002104E8" w:rsidP="00C04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1"/>
                <w:szCs w:val="21"/>
                <w:lang w:eastAsia="es-CR"/>
              </w:rPr>
            </w:pPr>
            <w:r w:rsidRPr="00C04296">
              <w:rPr>
                <w:rFonts w:ascii="Calibri" w:eastAsia="Times New Roman" w:hAnsi="Calibri" w:cs="Times New Roman"/>
                <w:b/>
                <w:bCs/>
                <w:sz w:val="21"/>
                <w:szCs w:val="21"/>
                <w:lang w:eastAsia="es-CR"/>
              </w:rPr>
              <w:t>Indicador</w:t>
            </w:r>
          </w:p>
        </w:tc>
        <w:tc>
          <w:tcPr>
            <w:tcW w:w="1266" w:type="dxa"/>
            <w:shd w:val="clear" w:color="auto" w:fill="C6D9F1" w:themeFill="text2" w:themeFillTint="33"/>
            <w:vAlign w:val="center"/>
            <w:hideMark/>
          </w:tcPr>
          <w:p w14:paraId="011EED52" w14:textId="51952852" w:rsidR="002104E8" w:rsidRPr="00C04296" w:rsidRDefault="002104E8" w:rsidP="00C04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1"/>
                <w:szCs w:val="21"/>
                <w:lang w:eastAsia="es-CR"/>
              </w:rPr>
            </w:pPr>
            <w:r w:rsidRPr="00C04296">
              <w:rPr>
                <w:rFonts w:ascii="Calibri" w:eastAsia="Times New Roman" w:hAnsi="Calibri" w:cs="Times New Roman"/>
                <w:b/>
                <w:bCs/>
                <w:sz w:val="21"/>
                <w:szCs w:val="21"/>
                <w:lang w:eastAsia="es-CR"/>
              </w:rPr>
              <w:t>Meta 20</w:t>
            </w:r>
            <w:r w:rsidR="00600BBB">
              <w:rPr>
                <w:rFonts w:ascii="Calibri" w:eastAsia="Times New Roman" w:hAnsi="Calibri" w:cs="Times New Roman"/>
                <w:b/>
                <w:bCs/>
                <w:sz w:val="21"/>
                <w:szCs w:val="21"/>
                <w:lang w:eastAsia="es-CR"/>
              </w:rPr>
              <w:t>20</w:t>
            </w:r>
          </w:p>
        </w:tc>
        <w:tc>
          <w:tcPr>
            <w:tcW w:w="1143" w:type="dxa"/>
            <w:shd w:val="clear" w:color="auto" w:fill="C6D9F1" w:themeFill="text2" w:themeFillTint="33"/>
            <w:vAlign w:val="center"/>
            <w:hideMark/>
          </w:tcPr>
          <w:p w14:paraId="1A832075" w14:textId="77777777" w:rsidR="002104E8" w:rsidRPr="00C04296" w:rsidRDefault="002104E8" w:rsidP="00C04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1"/>
                <w:szCs w:val="21"/>
                <w:lang w:eastAsia="es-CR"/>
              </w:rPr>
            </w:pPr>
            <w:r w:rsidRPr="00C04296">
              <w:rPr>
                <w:rFonts w:ascii="Calibri" w:eastAsia="Times New Roman" w:hAnsi="Calibri" w:cs="Times New Roman"/>
                <w:b/>
                <w:bCs/>
                <w:sz w:val="21"/>
                <w:szCs w:val="21"/>
                <w:lang w:eastAsia="es-CR"/>
              </w:rPr>
              <w:t>Resultado</w:t>
            </w:r>
          </w:p>
        </w:tc>
        <w:tc>
          <w:tcPr>
            <w:tcW w:w="1136" w:type="dxa"/>
            <w:shd w:val="clear" w:color="auto" w:fill="C6D9F1" w:themeFill="text2" w:themeFillTint="33"/>
            <w:vAlign w:val="center"/>
          </w:tcPr>
          <w:p w14:paraId="3380EECA" w14:textId="77777777" w:rsidR="002104E8" w:rsidRPr="00C04296" w:rsidRDefault="002104E8" w:rsidP="00C042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  <w:lang w:val="es-ES" w:eastAsia="es-ES"/>
              </w:rPr>
            </w:pPr>
            <w:r w:rsidRPr="00C04296"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  <w:lang w:val="es-ES" w:eastAsia="es-ES"/>
              </w:rPr>
              <w:t>Puntuación</w:t>
            </w:r>
          </w:p>
        </w:tc>
      </w:tr>
      <w:tr w:rsidR="002104E8" w:rsidRPr="00C04296" w14:paraId="2B6F6B9C" w14:textId="77777777" w:rsidTr="009B3DBD">
        <w:trPr>
          <w:trHeight w:val="600"/>
          <w:jc w:val="center"/>
        </w:trPr>
        <w:tc>
          <w:tcPr>
            <w:tcW w:w="2689" w:type="dxa"/>
            <w:shd w:val="clear" w:color="000000" w:fill="FFFFFF"/>
            <w:hideMark/>
          </w:tcPr>
          <w:p w14:paraId="7279C0A6" w14:textId="77777777" w:rsidR="002104E8" w:rsidRPr="00C04296" w:rsidRDefault="002104E8" w:rsidP="00C042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R"/>
              </w:rPr>
            </w:pPr>
            <w:r w:rsidRPr="00C042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R"/>
              </w:rPr>
              <w:t>PCO-01 Contar con personal de alto desempeño</w:t>
            </w:r>
          </w:p>
        </w:tc>
        <w:tc>
          <w:tcPr>
            <w:tcW w:w="2584" w:type="dxa"/>
            <w:shd w:val="clear" w:color="000000" w:fill="FFFFFF"/>
            <w:vAlign w:val="center"/>
            <w:hideMark/>
          </w:tcPr>
          <w:p w14:paraId="43E0944B" w14:textId="14AF5BC8" w:rsidR="002104E8" w:rsidRPr="00C04296" w:rsidRDefault="002104E8" w:rsidP="00C04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R"/>
              </w:rPr>
            </w:pPr>
            <w:r w:rsidRPr="00C042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R"/>
              </w:rPr>
              <w:t>Porcentaje de funcionarios con calificación mayor al 85%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9A5E1FB" w14:textId="77777777" w:rsidR="002104E8" w:rsidRPr="00C04296" w:rsidRDefault="002104E8" w:rsidP="00C04296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</w:pPr>
            <w:r w:rsidRPr="00C04296"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  <w:t>90%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14:paraId="7084DD16" w14:textId="6B63FFE2" w:rsidR="002104E8" w:rsidRPr="00571290" w:rsidRDefault="00571290" w:rsidP="00C04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R"/>
              </w:rPr>
            </w:pPr>
            <w:r w:rsidRPr="00571290"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  <w:t>Se medirá al 30/06/2021 (</w:t>
            </w:r>
            <w:r w:rsidRPr="00571290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acuerdo 1 - sesión 59-20</w:t>
            </w:r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)</w:t>
            </w:r>
          </w:p>
        </w:tc>
      </w:tr>
      <w:tr w:rsidR="002104E8" w:rsidRPr="00C04296" w14:paraId="2591D017" w14:textId="77777777" w:rsidTr="009B3DBD">
        <w:trPr>
          <w:trHeight w:val="600"/>
          <w:jc w:val="center"/>
        </w:trPr>
        <w:tc>
          <w:tcPr>
            <w:tcW w:w="2689" w:type="dxa"/>
            <w:shd w:val="clear" w:color="000000" w:fill="FFFFFF"/>
          </w:tcPr>
          <w:p w14:paraId="6C7FFBC3" w14:textId="6ECFDF4E" w:rsidR="002104E8" w:rsidRPr="00C04296" w:rsidRDefault="002104E8" w:rsidP="00C042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R"/>
              </w:rPr>
            </w:pPr>
            <w:r w:rsidRPr="00C042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R"/>
              </w:rPr>
              <w:t xml:space="preserve">PCO-02 Mejorar la plataforma de TI </w:t>
            </w:r>
            <w:r w:rsidR="009B3DBD" w:rsidRPr="00C042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R"/>
              </w:rPr>
              <w:t>de acuerdo con</w:t>
            </w:r>
            <w:r w:rsidRPr="00C042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R"/>
              </w:rPr>
              <w:t xml:space="preserve"> las necesidades del negocio</w:t>
            </w:r>
          </w:p>
        </w:tc>
        <w:tc>
          <w:tcPr>
            <w:tcW w:w="2584" w:type="dxa"/>
            <w:shd w:val="clear" w:color="000000" w:fill="FFFFFF"/>
            <w:vAlign w:val="center"/>
          </w:tcPr>
          <w:p w14:paraId="04EA5B9C" w14:textId="77777777" w:rsidR="002104E8" w:rsidRPr="00C04296" w:rsidRDefault="002104E8" w:rsidP="00C04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R"/>
              </w:rPr>
            </w:pPr>
            <w:r w:rsidRPr="00C042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R"/>
              </w:rPr>
              <w:t>Resultado de encuesta a usuarios internos y entidades autorizadas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DC91536" w14:textId="77777777" w:rsidR="002104E8" w:rsidRPr="00C04296" w:rsidRDefault="002104E8" w:rsidP="00C04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</w:pPr>
            <w:r w:rsidRPr="00C04296"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  <w:t>85%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163F9289" w14:textId="710C18B7" w:rsidR="002104E8" w:rsidRPr="00C04296" w:rsidRDefault="002104E8" w:rsidP="00C04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</w:pPr>
            <w:r w:rsidRPr="00C04296"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  <w:t>8</w:t>
            </w:r>
            <w:r w:rsidR="009B3DBD"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  <w:t>7</w:t>
            </w:r>
            <w:r w:rsidRPr="00C04296"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  <w:t>%</w:t>
            </w:r>
          </w:p>
        </w:tc>
        <w:tc>
          <w:tcPr>
            <w:tcW w:w="1136" w:type="dxa"/>
            <w:shd w:val="clear" w:color="auto" w:fill="00B050"/>
            <w:vAlign w:val="center"/>
          </w:tcPr>
          <w:p w14:paraId="1FE5440C" w14:textId="77777777" w:rsidR="002104E8" w:rsidRPr="00C04296" w:rsidRDefault="002104E8" w:rsidP="00C04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0"/>
                <w:lang w:eastAsia="es-CR"/>
              </w:rPr>
            </w:pPr>
            <w:r w:rsidRPr="00C04296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2"/>
                <w:szCs w:val="20"/>
                <w:lang w:eastAsia="es-CR"/>
              </w:rPr>
              <w:t>100%</w:t>
            </w:r>
          </w:p>
        </w:tc>
      </w:tr>
      <w:tr w:rsidR="002104E8" w:rsidRPr="00C04296" w14:paraId="1466C4D5" w14:textId="77777777" w:rsidTr="004B4AA7">
        <w:trPr>
          <w:trHeight w:val="600"/>
          <w:jc w:val="center"/>
        </w:trPr>
        <w:tc>
          <w:tcPr>
            <w:tcW w:w="2689" w:type="dxa"/>
            <w:shd w:val="clear" w:color="000000" w:fill="FFFFFF"/>
          </w:tcPr>
          <w:p w14:paraId="65E8CA96" w14:textId="77777777" w:rsidR="002104E8" w:rsidRPr="00C04296" w:rsidRDefault="002104E8" w:rsidP="00C042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R"/>
              </w:rPr>
            </w:pPr>
            <w:r w:rsidRPr="00C042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R"/>
              </w:rPr>
              <w:t>PCO-03 Implementar los proyectos de TI satisfactoriamente</w:t>
            </w:r>
          </w:p>
        </w:tc>
        <w:tc>
          <w:tcPr>
            <w:tcW w:w="2584" w:type="dxa"/>
            <w:shd w:val="clear" w:color="000000" w:fill="FFFFFF"/>
            <w:vAlign w:val="center"/>
          </w:tcPr>
          <w:p w14:paraId="2EB0BA3B" w14:textId="77777777" w:rsidR="002104E8" w:rsidRPr="00C04296" w:rsidRDefault="002104E8" w:rsidP="00C04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R"/>
              </w:rPr>
            </w:pPr>
            <w:r w:rsidRPr="00C042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R"/>
              </w:rPr>
              <w:t>Porcentaje de proyectos entregados a tiempo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CE525D3" w14:textId="1E2EF73C" w:rsidR="002104E8" w:rsidRPr="00C04296" w:rsidRDefault="00681600" w:rsidP="00C04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  <w:t>100</w:t>
            </w:r>
            <w:r w:rsidR="002104E8" w:rsidRPr="00C04296"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  <w:t>%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0DE8F8EE" w14:textId="7D12590B" w:rsidR="002104E8" w:rsidRPr="00C04296" w:rsidRDefault="00681600" w:rsidP="00C04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  <w:t>33</w:t>
            </w:r>
            <w:r w:rsidR="002104E8" w:rsidRPr="00C04296"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  <w:t>%</w:t>
            </w:r>
          </w:p>
        </w:tc>
        <w:tc>
          <w:tcPr>
            <w:tcW w:w="1136" w:type="dxa"/>
            <w:shd w:val="clear" w:color="auto" w:fill="FF0000"/>
            <w:vAlign w:val="center"/>
          </w:tcPr>
          <w:p w14:paraId="3DA27DCE" w14:textId="391C496F" w:rsidR="002104E8" w:rsidRPr="00C04296" w:rsidRDefault="00681600" w:rsidP="00C04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0"/>
                <w:lang w:eastAsia="es-C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2"/>
                <w:szCs w:val="20"/>
                <w:lang w:eastAsia="es-CR"/>
              </w:rPr>
              <w:t>33</w:t>
            </w:r>
            <w:r w:rsidR="002104E8" w:rsidRPr="00C04296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2"/>
                <w:szCs w:val="20"/>
                <w:lang w:eastAsia="es-CR"/>
              </w:rPr>
              <w:t>%</w:t>
            </w:r>
          </w:p>
        </w:tc>
      </w:tr>
    </w:tbl>
    <w:p w14:paraId="4599EE94" w14:textId="77777777" w:rsidR="00C04296" w:rsidRPr="00C04296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23"/>
          <w:lang w:val="es-MX" w:eastAsia="es-ES"/>
        </w:rPr>
      </w:pPr>
      <w:r w:rsidRPr="00C04296">
        <w:rPr>
          <w:rFonts w:asciiTheme="minorHAnsi" w:eastAsia="Times New Roman" w:hAnsiTheme="minorHAnsi" w:cstheme="minorHAnsi"/>
          <w:sz w:val="16"/>
          <w:szCs w:val="23"/>
          <w:lang w:val="es-MX" w:eastAsia="es-ES"/>
        </w:rPr>
        <w:t xml:space="preserve">Fuente: Base de datos PEI </w:t>
      </w:r>
    </w:p>
    <w:p w14:paraId="11910049" w14:textId="77777777" w:rsidR="00C20905" w:rsidRDefault="00C20905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</w:pPr>
    </w:p>
    <w:p w14:paraId="2202C27C" w14:textId="4BD3458C" w:rsidR="00D043D2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</w:pPr>
      <w:r w:rsidRPr="00C04296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De acuerdo con los resultados que se muestran en el cuadro anterior, el objetivo PCO-01 “</w:t>
      </w:r>
      <w:r w:rsidRPr="00C04296">
        <w:rPr>
          <w:rFonts w:asciiTheme="minorHAnsi" w:eastAsia="Times New Roman" w:hAnsiTheme="minorHAnsi" w:cstheme="minorHAnsi"/>
          <w:i/>
          <w:sz w:val="22"/>
          <w:szCs w:val="23"/>
          <w:lang w:val="es-MX" w:eastAsia="es-ES"/>
        </w:rPr>
        <w:t xml:space="preserve">Contar con personal de alto </w:t>
      </w:r>
      <w:r w:rsidR="00E82DAB" w:rsidRPr="00C04296">
        <w:rPr>
          <w:rFonts w:asciiTheme="minorHAnsi" w:eastAsia="Times New Roman" w:hAnsiTheme="minorHAnsi" w:cstheme="minorHAnsi"/>
          <w:i/>
          <w:sz w:val="22"/>
          <w:szCs w:val="23"/>
          <w:lang w:val="es-MX" w:eastAsia="es-ES"/>
        </w:rPr>
        <w:t>desempeño”</w:t>
      </w:r>
      <w:r w:rsidR="00E82DAB">
        <w:rPr>
          <w:rFonts w:asciiTheme="minorHAnsi" w:eastAsia="Times New Roman" w:hAnsiTheme="minorHAnsi" w:cstheme="minorHAnsi"/>
          <w:i/>
          <w:sz w:val="22"/>
          <w:szCs w:val="23"/>
          <w:lang w:val="es-MX" w:eastAsia="es-ES"/>
        </w:rPr>
        <w:t xml:space="preserve"> </w:t>
      </w:r>
      <w:r w:rsidR="00E82DAB" w:rsidRPr="00C04296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suspendido</w:t>
      </w:r>
      <w:r w:rsidR="00D043D2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 por este periodo; debido a: </w:t>
      </w:r>
    </w:p>
    <w:p w14:paraId="18F6794C" w14:textId="77777777" w:rsidR="00D043D2" w:rsidRDefault="00D043D2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</w:pPr>
    </w:p>
    <w:p w14:paraId="61395573" w14:textId="1FCD39D8" w:rsidR="00D043D2" w:rsidRPr="00E82DAB" w:rsidRDefault="00E82DAB" w:rsidP="00B66740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3"/>
          <w:lang w:val="es-MX"/>
        </w:rPr>
      </w:pPr>
      <w:r>
        <w:rPr>
          <w:rFonts w:asciiTheme="minorHAnsi" w:hAnsiTheme="minorHAnsi" w:cstheme="minorHAnsi"/>
          <w:sz w:val="22"/>
          <w:szCs w:val="23"/>
          <w:lang w:val="es-MX"/>
        </w:rPr>
        <w:t xml:space="preserve">Mediante acuerdo no. 1 </w:t>
      </w:r>
      <w:r w:rsidR="00452087">
        <w:rPr>
          <w:rFonts w:asciiTheme="minorHAnsi" w:hAnsiTheme="minorHAnsi" w:cstheme="minorHAnsi"/>
          <w:sz w:val="22"/>
          <w:szCs w:val="23"/>
          <w:lang w:val="es-MX"/>
        </w:rPr>
        <w:t>de la</w:t>
      </w:r>
      <w:r>
        <w:rPr>
          <w:rFonts w:asciiTheme="minorHAnsi" w:hAnsiTheme="minorHAnsi" w:cstheme="minorHAnsi"/>
          <w:sz w:val="22"/>
          <w:szCs w:val="23"/>
          <w:lang w:val="es-MX"/>
        </w:rPr>
        <w:t xml:space="preserve"> sesión </w:t>
      </w:r>
      <w:r w:rsidR="00496A50">
        <w:rPr>
          <w:rFonts w:asciiTheme="minorHAnsi" w:hAnsiTheme="minorHAnsi" w:cstheme="minorHAnsi"/>
          <w:sz w:val="22"/>
          <w:szCs w:val="23"/>
          <w:lang w:val="es-MX"/>
        </w:rPr>
        <w:t xml:space="preserve">59-20 se aprobó el nuevo modelo de evaluación del desempeño de los funcionarios </w:t>
      </w:r>
      <w:r w:rsidR="002911C1">
        <w:rPr>
          <w:rFonts w:asciiTheme="minorHAnsi" w:hAnsiTheme="minorHAnsi" w:cstheme="minorHAnsi"/>
          <w:sz w:val="22"/>
          <w:szCs w:val="23"/>
          <w:lang w:val="es-MX"/>
        </w:rPr>
        <w:t xml:space="preserve">por la Junta Directiva; </w:t>
      </w:r>
      <w:r w:rsidR="002D2B21">
        <w:rPr>
          <w:rFonts w:asciiTheme="minorHAnsi" w:hAnsiTheme="minorHAnsi" w:cstheme="minorHAnsi"/>
          <w:sz w:val="22"/>
          <w:szCs w:val="23"/>
          <w:lang w:val="es-MX"/>
        </w:rPr>
        <w:t xml:space="preserve">asimismo, se indica que dado a que este modelo se </w:t>
      </w:r>
      <w:r w:rsidR="00452087">
        <w:rPr>
          <w:rFonts w:asciiTheme="minorHAnsi" w:hAnsiTheme="minorHAnsi" w:cstheme="minorHAnsi"/>
          <w:sz w:val="22"/>
          <w:szCs w:val="23"/>
          <w:lang w:val="es-MX"/>
        </w:rPr>
        <w:t>está</w:t>
      </w:r>
      <w:r w:rsidR="002D2B21">
        <w:rPr>
          <w:rFonts w:asciiTheme="minorHAnsi" w:hAnsiTheme="minorHAnsi" w:cstheme="minorHAnsi"/>
          <w:sz w:val="22"/>
          <w:szCs w:val="23"/>
          <w:lang w:val="es-MX"/>
        </w:rPr>
        <w:t xml:space="preserve"> aprobando en agosto y la evaluación debe tener 6 meses de vigencia. Este </w:t>
      </w:r>
      <w:r w:rsidR="00452087">
        <w:rPr>
          <w:rFonts w:asciiTheme="minorHAnsi" w:hAnsiTheme="minorHAnsi" w:cstheme="minorHAnsi"/>
          <w:sz w:val="22"/>
          <w:szCs w:val="23"/>
          <w:lang w:val="es-MX"/>
        </w:rPr>
        <w:t xml:space="preserve">proceso se estima aplicar al 30 de junio del 2021. </w:t>
      </w:r>
    </w:p>
    <w:p w14:paraId="063060CF" w14:textId="77777777" w:rsidR="00D043D2" w:rsidRDefault="00D043D2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</w:pPr>
    </w:p>
    <w:p w14:paraId="67D633EC" w14:textId="77777777" w:rsidR="00C04296" w:rsidRPr="00C04296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val="es-MX" w:eastAsia="es-ES"/>
        </w:rPr>
      </w:pPr>
      <w:r w:rsidRPr="00C04296">
        <w:rPr>
          <w:rFonts w:asciiTheme="minorHAnsi" w:eastAsia="Times New Roman" w:hAnsiTheme="minorHAnsi" w:cstheme="minorHAnsi"/>
          <w:sz w:val="22"/>
          <w:lang w:val="es-MX" w:eastAsia="es-ES"/>
        </w:rPr>
        <w:t xml:space="preserve">En cuanto a los otros 2 objetivos relacionados con la gestión de las Tecnologías de Información se detalla: </w:t>
      </w:r>
    </w:p>
    <w:p w14:paraId="1F92DF8B" w14:textId="77777777" w:rsidR="00C04296" w:rsidRPr="00C04296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val="es-MX" w:eastAsia="es-ES"/>
        </w:rPr>
      </w:pPr>
    </w:p>
    <w:p w14:paraId="6096A62B" w14:textId="14E2FC23" w:rsidR="00C04296" w:rsidRPr="00C04296" w:rsidRDefault="00C04296" w:rsidP="00B66740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color w:val="FF0000"/>
          <w:sz w:val="23"/>
          <w:szCs w:val="23"/>
          <w:lang w:val="es-MX" w:eastAsia="es-ES"/>
        </w:rPr>
      </w:pPr>
      <w:r w:rsidRPr="00C04296">
        <w:rPr>
          <w:rFonts w:asciiTheme="minorHAnsi" w:eastAsia="Times New Roman" w:hAnsiTheme="minorHAnsi" w:cstheme="minorHAnsi"/>
          <w:sz w:val="22"/>
          <w:lang w:val="es-MX" w:eastAsia="es-ES"/>
        </w:rPr>
        <w:t xml:space="preserve">PCO-02 </w:t>
      </w:r>
      <w:r w:rsidRPr="00C04296">
        <w:rPr>
          <w:rFonts w:asciiTheme="minorHAnsi" w:eastAsia="Times New Roman" w:hAnsiTheme="minorHAnsi" w:cstheme="minorHAnsi"/>
          <w:i/>
          <w:sz w:val="22"/>
          <w:lang w:val="es-MX" w:eastAsia="es-ES"/>
        </w:rPr>
        <w:t xml:space="preserve">“Mejorar la plataforma de TI </w:t>
      </w:r>
      <w:proofErr w:type="gramStart"/>
      <w:r w:rsidRPr="00C04296">
        <w:rPr>
          <w:rFonts w:asciiTheme="minorHAnsi" w:eastAsia="Times New Roman" w:hAnsiTheme="minorHAnsi" w:cstheme="minorHAnsi"/>
          <w:i/>
          <w:sz w:val="22"/>
          <w:lang w:val="es-MX" w:eastAsia="es-ES"/>
        </w:rPr>
        <w:t>de acuerdo a</w:t>
      </w:r>
      <w:proofErr w:type="gramEnd"/>
      <w:r w:rsidRPr="00C04296">
        <w:rPr>
          <w:rFonts w:asciiTheme="minorHAnsi" w:eastAsia="Times New Roman" w:hAnsiTheme="minorHAnsi" w:cstheme="minorHAnsi"/>
          <w:i/>
          <w:sz w:val="22"/>
          <w:lang w:val="es-MX" w:eastAsia="es-ES"/>
        </w:rPr>
        <w:t xml:space="preserve"> las necesidades del negocio</w:t>
      </w:r>
      <w:r w:rsidRPr="00C04296">
        <w:rPr>
          <w:rFonts w:asciiTheme="minorHAnsi" w:eastAsia="Times New Roman" w:hAnsiTheme="minorHAnsi" w:cstheme="minorHAnsi"/>
          <w:sz w:val="22"/>
          <w:lang w:val="es-MX" w:eastAsia="es-ES"/>
        </w:rPr>
        <w:t xml:space="preserve">” </w:t>
      </w:r>
      <w:r w:rsidR="00D27F06">
        <w:rPr>
          <w:rFonts w:asciiTheme="minorHAnsi" w:eastAsia="Times New Roman" w:hAnsiTheme="minorHAnsi" w:cstheme="minorHAnsi"/>
          <w:sz w:val="22"/>
          <w:lang w:val="es-MX" w:eastAsia="es-ES"/>
        </w:rPr>
        <w:t xml:space="preserve">la ejecución de esta meta fue de un </w:t>
      </w:r>
      <w:r w:rsidRPr="00C04296">
        <w:rPr>
          <w:rFonts w:asciiTheme="minorHAnsi" w:eastAsia="Times New Roman" w:hAnsiTheme="minorHAnsi" w:cstheme="minorHAnsi"/>
          <w:sz w:val="22"/>
          <w:lang w:val="es-MX" w:eastAsia="es-ES"/>
        </w:rPr>
        <w:t>8</w:t>
      </w:r>
      <w:r w:rsidR="00687475">
        <w:rPr>
          <w:rFonts w:asciiTheme="minorHAnsi" w:eastAsia="Times New Roman" w:hAnsiTheme="minorHAnsi" w:cstheme="minorHAnsi"/>
          <w:sz w:val="22"/>
          <w:lang w:val="es-MX" w:eastAsia="es-ES"/>
        </w:rPr>
        <w:t>7</w:t>
      </w:r>
      <w:r w:rsidRPr="00C04296">
        <w:rPr>
          <w:rFonts w:asciiTheme="minorHAnsi" w:eastAsia="Times New Roman" w:hAnsiTheme="minorHAnsi" w:cstheme="minorHAnsi"/>
          <w:sz w:val="22"/>
          <w:lang w:val="es-MX" w:eastAsia="es-ES"/>
        </w:rPr>
        <w:t>%. Se realizaron dos encuestas para los funcionarios activos del Banco (calificación 8</w:t>
      </w:r>
      <w:r w:rsidR="00BE6D61">
        <w:rPr>
          <w:rFonts w:asciiTheme="minorHAnsi" w:eastAsia="Times New Roman" w:hAnsiTheme="minorHAnsi" w:cstheme="minorHAnsi"/>
          <w:sz w:val="22"/>
          <w:lang w:val="es-MX" w:eastAsia="es-ES"/>
        </w:rPr>
        <w:t>7</w:t>
      </w:r>
      <w:r w:rsidRPr="00C04296">
        <w:rPr>
          <w:rFonts w:asciiTheme="minorHAnsi" w:eastAsia="Times New Roman" w:hAnsiTheme="minorHAnsi" w:cstheme="minorHAnsi"/>
          <w:sz w:val="22"/>
          <w:lang w:val="es-MX" w:eastAsia="es-ES"/>
        </w:rPr>
        <w:t>%) y funcionarios de Entidades Autorizadas que usan los sistemas de información del Banco (</w:t>
      </w:r>
      <w:r w:rsidR="00BE6D61">
        <w:rPr>
          <w:rFonts w:asciiTheme="minorHAnsi" w:eastAsia="Times New Roman" w:hAnsiTheme="minorHAnsi" w:cstheme="minorHAnsi"/>
          <w:sz w:val="22"/>
          <w:lang w:val="es-MX" w:eastAsia="es-ES"/>
        </w:rPr>
        <w:t>no hubo respuesta de parte de las EA</w:t>
      </w:r>
      <w:r w:rsidRPr="00C04296">
        <w:rPr>
          <w:rFonts w:asciiTheme="minorHAnsi" w:eastAsia="Times New Roman" w:hAnsiTheme="minorHAnsi" w:cstheme="minorHAnsi"/>
          <w:sz w:val="22"/>
          <w:lang w:val="es-MX" w:eastAsia="es-ES"/>
        </w:rPr>
        <w:t>), ambas encuestas mejoraron con respecto al año anterior; a saber</w:t>
      </w:r>
      <w:r w:rsidRPr="00C04296">
        <w:rPr>
          <w:rFonts w:asciiTheme="minorHAnsi" w:eastAsia="Times New Roman" w:hAnsiTheme="minorHAnsi" w:cstheme="minorHAnsi"/>
          <w:sz w:val="23"/>
          <w:szCs w:val="23"/>
          <w:lang w:val="es-MX" w:eastAsia="es-ES"/>
        </w:rPr>
        <w:t xml:space="preserve">: </w:t>
      </w:r>
    </w:p>
    <w:p w14:paraId="0E71B530" w14:textId="77777777" w:rsidR="00C04296" w:rsidRPr="00C04296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3"/>
          <w:szCs w:val="23"/>
          <w:lang w:val="es-MX" w:eastAsia="es-ES"/>
        </w:rPr>
      </w:pPr>
    </w:p>
    <w:p w14:paraId="3B40A5B0" w14:textId="5B99D566" w:rsidR="00C04296" w:rsidRPr="00C04296" w:rsidRDefault="00C04296" w:rsidP="00C042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mallCaps/>
          <w:sz w:val="22"/>
          <w:szCs w:val="23"/>
          <w:lang w:val="es-MX" w:eastAsia="es-ES"/>
        </w:rPr>
      </w:pPr>
      <w:r w:rsidRPr="00C04296">
        <w:rPr>
          <w:rFonts w:asciiTheme="minorHAnsi" w:eastAsia="Times New Roman" w:hAnsiTheme="minorHAnsi" w:cstheme="minorHAnsi"/>
          <w:b/>
          <w:smallCaps/>
          <w:sz w:val="22"/>
          <w:szCs w:val="23"/>
          <w:lang w:val="es-MX" w:eastAsia="es-ES"/>
        </w:rPr>
        <w:t xml:space="preserve">Cuadro </w:t>
      </w:r>
      <w:r w:rsidR="00CD4DA1">
        <w:rPr>
          <w:rFonts w:asciiTheme="minorHAnsi" w:eastAsia="Times New Roman" w:hAnsiTheme="minorHAnsi" w:cstheme="minorHAnsi"/>
          <w:b/>
          <w:smallCaps/>
          <w:sz w:val="22"/>
          <w:szCs w:val="23"/>
          <w:lang w:val="es-MX" w:eastAsia="es-ES"/>
        </w:rPr>
        <w:t>3</w:t>
      </w:r>
    </w:p>
    <w:p w14:paraId="3A213411" w14:textId="77777777" w:rsidR="00C04296" w:rsidRPr="00C04296" w:rsidRDefault="00C04296" w:rsidP="00C04296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FF0000"/>
          <w:sz w:val="23"/>
          <w:szCs w:val="23"/>
          <w:lang w:val="es-MX" w:eastAsia="es-ES"/>
        </w:rPr>
      </w:pPr>
      <w:r w:rsidRPr="00C04296">
        <w:rPr>
          <w:rFonts w:asciiTheme="minorHAnsi" w:eastAsia="Times New Roman" w:hAnsiTheme="minorHAnsi" w:cstheme="minorHAnsi"/>
          <w:b/>
          <w:smallCaps/>
          <w:sz w:val="22"/>
          <w:szCs w:val="23"/>
          <w:lang w:val="es-MX" w:eastAsia="es-ES"/>
        </w:rPr>
        <w:t>Resultado de las encuestas realizadas</w:t>
      </w:r>
    </w:p>
    <w:p w14:paraId="26D755EE" w14:textId="77777777" w:rsidR="00C04296" w:rsidRPr="00C04296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3"/>
          <w:szCs w:val="23"/>
          <w:lang w:val="es-MX" w:eastAsia="es-ES"/>
        </w:rPr>
      </w:pPr>
    </w:p>
    <w:tbl>
      <w:tblPr>
        <w:tblW w:w="483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3"/>
        <w:gridCol w:w="1984"/>
      </w:tblGrid>
      <w:tr w:rsidR="00BE6D61" w:rsidRPr="00C04296" w14:paraId="35451BA2" w14:textId="77777777" w:rsidTr="00BE6D61">
        <w:trPr>
          <w:jc w:val="center"/>
        </w:trPr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14:paraId="2E085890" w14:textId="77777777" w:rsidR="00BE6D61" w:rsidRPr="00C04296" w:rsidRDefault="00BE6D61" w:rsidP="00C04296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es-CR"/>
              </w:rPr>
            </w:pPr>
            <w:r w:rsidRPr="00C04296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  <w:lang w:eastAsia="es-CR"/>
              </w:rPr>
              <w:t>Variables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14:paraId="113A62A2" w14:textId="77777777" w:rsidR="00BE6D61" w:rsidRPr="00C04296" w:rsidRDefault="00BE6D61" w:rsidP="00C04296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es-CR"/>
              </w:rPr>
            </w:pPr>
            <w:r w:rsidRPr="00C04296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  <w:lang w:eastAsia="es-CR"/>
              </w:rPr>
              <w:t xml:space="preserve">Funcionarios </w:t>
            </w:r>
            <w:proofErr w:type="spellStart"/>
            <w:r w:rsidRPr="00C04296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  <w:lang w:eastAsia="es-CR"/>
              </w:rPr>
              <w:t>Banhvi</w:t>
            </w:r>
            <w:proofErr w:type="spellEnd"/>
          </w:p>
        </w:tc>
      </w:tr>
      <w:tr w:rsidR="00BE6D61" w:rsidRPr="00C04296" w14:paraId="5AFA6ADE" w14:textId="77777777" w:rsidTr="00BE6D61">
        <w:trPr>
          <w:jc w:val="center"/>
        </w:trPr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14:paraId="3741F8D5" w14:textId="77777777" w:rsidR="00BE6D61" w:rsidRPr="00C04296" w:rsidRDefault="00BE6D61" w:rsidP="00C04296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es-CR"/>
              </w:rPr>
            </w:pPr>
            <w:r w:rsidRPr="00C0429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CR"/>
              </w:rPr>
              <w:t>Disponibilidad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14:paraId="78F3DB31" w14:textId="77777777" w:rsidR="00BE6D61" w:rsidRPr="00C04296" w:rsidRDefault="00BE6D61" w:rsidP="00C04296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es-CR"/>
              </w:rPr>
            </w:pPr>
            <w:r w:rsidRPr="00C0429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CR"/>
              </w:rPr>
              <w:t>90%</w:t>
            </w:r>
          </w:p>
        </w:tc>
      </w:tr>
      <w:tr w:rsidR="00BE6D61" w:rsidRPr="00C04296" w14:paraId="38E9B5EA" w14:textId="77777777" w:rsidTr="00BE6D61">
        <w:trPr>
          <w:jc w:val="center"/>
        </w:trPr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14:paraId="53E2B817" w14:textId="77777777" w:rsidR="00BE6D61" w:rsidRPr="00C04296" w:rsidRDefault="00BE6D61" w:rsidP="00C04296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es-CR"/>
              </w:rPr>
            </w:pPr>
            <w:r w:rsidRPr="00C0429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CR"/>
              </w:rPr>
              <w:t>Capacidad / Desempeño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14:paraId="3BBD2458" w14:textId="6C1D47F4" w:rsidR="00BE6D61" w:rsidRPr="00C04296" w:rsidRDefault="00BE6D61" w:rsidP="00C04296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es-CR"/>
              </w:rPr>
            </w:pPr>
            <w:r w:rsidRPr="00C0429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CR"/>
              </w:rPr>
              <w:t>8</w:t>
            </w:r>
            <w:r w:rsidR="00A75B32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CR"/>
              </w:rPr>
              <w:t>8</w:t>
            </w:r>
            <w:r w:rsidRPr="00C0429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CR"/>
              </w:rPr>
              <w:t>%</w:t>
            </w:r>
          </w:p>
        </w:tc>
      </w:tr>
      <w:tr w:rsidR="00BE6D61" w:rsidRPr="00C04296" w14:paraId="4ADA914F" w14:textId="77777777" w:rsidTr="00BE6D61">
        <w:trPr>
          <w:jc w:val="center"/>
        </w:trPr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14:paraId="78F4A0FB" w14:textId="77777777" w:rsidR="00BE6D61" w:rsidRPr="00C04296" w:rsidRDefault="00BE6D61" w:rsidP="00C04296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es-CR"/>
              </w:rPr>
            </w:pPr>
            <w:r w:rsidRPr="00C0429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CR"/>
              </w:rPr>
              <w:t>Continuidad de Servicios de TI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14:paraId="5BD0A841" w14:textId="66AB6211" w:rsidR="00BE6D61" w:rsidRPr="00C04296" w:rsidRDefault="00BE6D61" w:rsidP="00C04296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es-CR"/>
              </w:rPr>
            </w:pPr>
            <w:r w:rsidRPr="00C0429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CR"/>
              </w:rPr>
              <w:t>8</w:t>
            </w:r>
            <w:r w:rsidR="0004670C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CR"/>
              </w:rPr>
              <w:t>9</w:t>
            </w:r>
            <w:r w:rsidRPr="00C0429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CR"/>
              </w:rPr>
              <w:t>%</w:t>
            </w:r>
          </w:p>
        </w:tc>
      </w:tr>
      <w:tr w:rsidR="00BE6D61" w:rsidRPr="00C04296" w14:paraId="390F8E57" w14:textId="77777777" w:rsidTr="00BE6D61">
        <w:trPr>
          <w:jc w:val="center"/>
        </w:trPr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14:paraId="3E05573F" w14:textId="77777777" w:rsidR="00BE6D61" w:rsidRPr="00C04296" w:rsidRDefault="00BE6D61" w:rsidP="00C04296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es-CR"/>
              </w:rPr>
            </w:pPr>
            <w:r w:rsidRPr="00C0429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CR"/>
              </w:rPr>
              <w:t>Seguridad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14:paraId="6DF0D3AA" w14:textId="7C685777" w:rsidR="00BE6D61" w:rsidRPr="00C04296" w:rsidRDefault="00BE6D61" w:rsidP="00C04296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es-CR"/>
              </w:rPr>
            </w:pPr>
            <w:r w:rsidRPr="00C0429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CR"/>
              </w:rPr>
              <w:t>9</w:t>
            </w:r>
            <w:r w:rsidR="0004670C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CR"/>
              </w:rPr>
              <w:t>4</w:t>
            </w:r>
            <w:r w:rsidRPr="00C0429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CR"/>
              </w:rPr>
              <w:t>%</w:t>
            </w:r>
          </w:p>
        </w:tc>
      </w:tr>
      <w:tr w:rsidR="00BE6D61" w:rsidRPr="00C04296" w14:paraId="5CBA898E" w14:textId="77777777" w:rsidTr="00BE6D61">
        <w:trPr>
          <w:jc w:val="center"/>
        </w:trPr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14:paraId="24D4673D" w14:textId="77777777" w:rsidR="00BE6D61" w:rsidRPr="00C04296" w:rsidRDefault="00BE6D61" w:rsidP="00C04296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es-CR"/>
              </w:rPr>
            </w:pPr>
            <w:r w:rsidRPr="00C0429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CR"/>
              </w:rPr>
              <w:t>Satisfacción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14:paraId="03895B84" w14:textId="5FEE4688" w:rsidR="00BE6D61" w:rsidRPr="00C04296" w:rsidRDefault="00BE6D61" w:rsidP="00C04296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es-CR"/>
              </w:rPr>
            </w:pPr>
            <w:r w:rsidRPr="00C0429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CR"/>
              </w:rPr>
              <w:t>8</w:t>
            </w:r>
            <w:r w:rsidR="00B7175E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CR"/>
              </w:rPr>
              <w:t>2</w:t>
            </w:r>
            <w:r w:rsidRPr="00C0429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CR"/>
              </w:rPr>
              <w:t>%</w:t>
            </w:r>
          </w:p>
        </w:tc>
      </w:tr>
    </w:tbl>
    <w:p w14:paraId="7B3BE419" w14:textId="77777777" w:rsidR="00C04296" w:rsidRPr="00C04296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3"/>
          <w:szCs w:val="23"/>
          <w:lang w:val="es-MX" w:eastAsia="es-ES"/>
        </w:rPr>
      </w:pPr>
    </w:p>
    <w:p w14:paraId="43AA9947" w14:textId="7EBE1072" w:rsidR="00C04296" w:rsidRPr="00C04296" w:rsidRDefault="00C04296" w:rsidP="00C04296">
      <w:p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sz w:val="22"/>
          <w:lang w:val="es-MX" w:eastAsia="es-ES"/>
        </w:rPr>
      </w:pPr>
      <w:r w:rsidRPr="00993227">
        <w:rPr>
          <w:rFonts w:asciiTheme="minorHAnsi" w:eastAsia="Times New Roman" w:hAnsiTheme="minorHAnsi" w:cstheme="minorHAnsi"/>
          <w:sz w:val="22"/>
          <w:lang w:val="es-MX" w:eastAsia="es-ES"/>
        </w:rPr>
        <w:t>En estas encuestas se evaluaron las variables de Disponibilidad, Capacidad / Desempeño, Continuidad, Seguridad, Satisfacción</w:t>
      </w:r>
      <w:r w:rsidR="00B7175E" w:rsidRPr="00993227">
        <w:rPr>
          <w:rFonts w:asciiTheme="minorHAnsi" w:eastAsia="Times New Roman" w:hAnsiTheme="minorHAnsi" w:cstheme="minorHAnsi"/>
          <w:sz w:val="22"/>
          <w:lang w:val="es-MX" w:eastAsia="es-ES"/>
        </w:rPr>
        <w:t>.</w:t>
      </w:r>
    </w:p>
    <w:p w14:paraId="02C71EED" w14:textId="77777777" w:rsidR="00C04296" w:rsidRPr="00C04296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val="es-MX" w:eastAsia="es-ES"/>
        </w:rPr>
      </w:pPr>
    </w:p>
    <w:p w14:paraId="2BB1D0DC" w14:textId="516A3873" w:rsidR="00031DBB" w:rsidRPr="00CD4DA1" w:rsidRDefault="00C04296" w:rsidP="00B66740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sz w:val="22"/>
          <w:lang w:val="es-MX" w:eastAsia="es-ES"/>
        </w:rPr>
      </w:pPr>
      <w:r w:rsidRPr="00CD4DA1">
        <w:rPr>
          <w:rFonts w:asciiTheme="minorHAnsi" w:eastAsia="Times New Roman" w:hAnsiTheme="minorHAnsi" w:cstheme="minorHAnsi"/>
          <w:sz w:val="22"/>
          <w:lang w:val="es-MX" w:eastAsia="es-ES"/>
        </w:rPr>
        <w:lastRenderedPageBreak/>
        <w:t xml:space="preserve">PCO-03 </w:t>
      </w:r>
      <w:r w:rsidRPr="00CD4DA1">
        <w:rPr>
          <w:rFonts w:asciiTheme="minorHAnsi" w:eastAsia="Times New Roman" w:hAnsiTheme="minorHAnsi" w:cstheme="minorHAnsi"/>
          <w:i/>
          <w:sz w:val="22"/>
          <w:lang w:val="es-MX" w:eastAsia="es-ES"/>
        </w:rPr>
        <w:t xml:space="preserve">“Implementar los proyectos de TI satisfactoriamente”, </w:t>
      </w:r>
      <w:r w:rsidRPr="00CD4DA1">
        <w:rPr>
          <w:rFonts w:asciiTheme="minorHAnsi" w:eastAsia="Times New Roman" w:hAnsiTheme="minorHAnsi" w:cstheme="minorHAnsi"/>
          <w:sz w:val="22"/>
          <w:lang w:val="es-MX" w:eastAsia="es-ES"/>
        </w:rPr>
        <w:t>la meta programada</w:t>
      </w:r>
      <w:r w:rsidR="006516A4" w:rsidRPr="00CD4DA1">
        <w:rPr>
          <w:rFonts w:asciiTheme="minorHAnsi" w:eastAsia="Times New Roman" w:hAnsiTheme="minorHAnsi" w:cstheme="minorHAnsi"/>
          <w:sz w:val="22"/>
          <w:lang w:val="es-MX" w:eastAsia="es-ES"/>
        </w:rPr>
        <w:t xml:space="preserve"> para el periodo </w:t>
      </w:r>
      <w:r w:rsidR="00031DBB" w:rsidRPr="00CD4DA1">
        <w:rPr>
          <w:rFonts w:asciiTheme="minorHAnsi" w:eastAsia="Times New Roman" w:hAnsiTheme="minorHAnsi" w:cstheme="minorHAnsi"/>
          <w:sz w:val="22"/>
          <w:lang w:val="es-MX" w:eastAsia="es-ES"/>
        </w:rPr>
        <w:t xml:space="preserve">2020 </w:t>
      </w:r>
      <w:r w:rsidR="00D16861" w:rsidRPr="00CD4DA1">
        <w:rPr>
          <w:rFonts w:asciiTheme="minorHAnsi" w:eastAsia="Times New Roman" w:hAnsiTheme="minorHAnsi" w:cstheme="minorHAnsi"/>
          <w:sz w:val="22"/>
          <w:lang w:val="es-MX" w:eastAsia="es-ES"/>
        </w:rPr>
        <w:t xml:space="preserve">es el cumplimiento de las etapas en dicho periodo, sin embargo, se presentan </w:t>
      </w:r>
      <w:r w:rsidR="00CD4DA1" w:rsidRPr="00CD4DA1">
        <w:rPr>
          <w:rFonts w:asciiTheme="minorHAnsi" w:eastAsia="Times New Roman" w:hAnsiTheme="minorHAnsi" w:cstheme="minorHAnsi"/>
          <w:sz w:val="22"/>
          <w:lang w:val="es-MX" w:eastAsia="es-ES"/>
        </w:rPr>
        <w:t xml:space="preserve">atrasos en los proyectos de </w:t>
      </w:r>
      <w:r w:rsidR="00C17FAE" w:rsidRPr="00CD4DA1">
        <w:rPr>
          <w:rFonts w:asciiTheme="minorHAnsi" w:eastAsia="Times New Roman" w:hAnsiTheme="minorHAnsi" w:cstheme="minorHAnsi"/>
          <w:sz w:val="22"/>
          <w:lang w:val="es-MX" w:eastAsia="es-ES"/>
        </w:rPr>
        <w:t>Expediente electrónico</w:t>
      </w:r>
      <w:r w:rsidR="00CD4DA1" w:rsidRPr="00CD4DA1">
        <w:rPr>
          <w:rFonts w:asciiTheme="minorHAnsi" w:eastAsia="Times New Roman" w:hAnsiTheme="minorHAnsi" w:cstheme="minorHAnsi"/>
          <w:sz w:val="22"/>
          <w:lang w:val="es-MX" w:eastAsia="es-ES"/>
        </w:rPr>
        <w:t xml:space="preserve"> y Optimus el detalle a continuación: </w:t>
      </w:r>
    </w:p>
    <w:p w14:paraId="468BB4FF" w14:textId="77777777" w:rsidR="00935846" w:rsidRDefault="00935846" w:rsidP="00C042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mallCaps/>
          <w:sz w:val="22"/>
          <w:szCs w:val="23"/>
          <w:lang w:val="es-MX" w:eastAsia="es-ES"/>
        </w:rPr>
      </w:pPr>
    </w:p>
    <w:p w14:paraId="7B08A105" w14:textId="0D3FDA0D" w:rsidR="00C04296" w:rsidRPr="00C04296" w:rsidRDefault="00C04296" w:rsidP="00C042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mallCaps/>
          <w:sz w:val="22"/>
          <w:szCs w:val="23"/>
          <w:lang w:val="es-MX" w:eastAsia="es-ES"/>
        </w:rPr>
      </w:pPr>
      <w:r w:rsidRPr="00C04296">
        <w:rPr>
          <w:rFonts w:asciiTheme="minorHAnsi" w:eastAsia="Times New Roman" w:hAnsiTheme="minorHAnsi" w:cstheme="minorHAnsi"/>
          <w:b/>
          <w:smallCaps/>
          <w:sz w:val="22"/>
          <w:szCs w:val="23"/>
          <w:lang w:val="es-MX" w:eastAsia="es-ES"/>
        </w:rPr>
        <w:t xml:space="preserve">Cuadro </w:t>
      </w:r>
      <w:r w:rsidR="00CD4DA1">
        <w:rPr>
          <w:rFonts w:asciiTheme="minorHAnsi" w:eastAsia="Times New Roman" w:hAnsiTheme="minorHAnsi" w:cstheme="minorHAnsi"/>
          <w:b/>
          <w:smallCaps/>
          <w:sz w:val="22"/>
          <w:szCs w:val="23"/>
          <w:lang w:val="es-MX" w:eastAsia="es-ES"/>
        </w:rPr>
        <w:t>4</w:t>
      </w:r>
    </w:p>
    <w:p w14:paraId="151623C5" w14:textId="77777777" w:rsidR="00C04296" w:rsidRPr="00C04296" w:rsidRDefault="00C04296" w:rsidP="00C042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mallCaps/>
          <w:sz w:val="22"/>
          <w:szCs w:val="23"/>
          <w:lang w:val="es-MX" w:eastAsia="es-ES"/>
        </w:rPr>
      </w:pPr>
      <w:r w:rsidRPr="00C04296">
        <w:rPr>
          <w:rFonts w:asciiTheme="minorHAnsi" w:eastAsia="Times New Roman" w:hAnsiTheme="minorHAnsi" w:cstheme="minorHAnsi"/>
          <w:b/>
          <w:smallCaps/>
          <w:sz w:val="22"/>
          <w:szCs w:val="23"/>
          <w:lang w:val="es-MX" w:eastAsia="es-ES"/>
        </w:rPr>
        <w:t>Situación Cartera de Proyectos</w:t>
      </w:r>
    </w:p>
    <w:p w14:paraId="0D670639" w14:textId="77777777" w:rsidR="00C04296" w:rsidRPr="00C04296" w:rsidRDefault="00C04296" w:rsidP="00C04296">
      <w:pPr>
        <w:spacing w:after="0" w:line="240" w:lineRule="auto"/>
        <w:jc w:val="center"/>
        <w:rPr>
          <w:rFonts w:asciiTheme="minorHAnsi" w:eastAsia="Times New Roman" w:hAnsiTheme="minorHAnsi" w:cstheme="minorHAnsi"/>
          <w:sz w:val="23"/>
          <w:szCs w:val="23"/>
          <w:lang w:val="es-MX" w:eastAsia="es-ES"/>
        </w:rPr>
      </w:pPr>
    </w:p>
    <w:tbl>
      <w:tblPr>
        <w:tblW w:w="7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9"/>
        <w:gridCol w:w="1050"/>
        <w:gridCol w:w="1417"/>
        <w:gridCol w:w="1418"/>
      </w:tblGrid>
      <w:tr w:rsidR="00D70D62" w:rsidRPr="00C04296" w14:paraId="32063FD6" w14:textId="4CB21F3C" w:rsidTr="00CD4DA1">
        <w:trPr>
          <w:trHeight w:val="290"/>
          <w:jc w:val="center"/>
        </w:trPr>
        <w:tc>
          <w:tcPr>
            <w:tcW w:w="3629" w:type="dxa"/>
            <w:shd w:val="clear" w:color="auto" w:fill="C6D9F1" w:themeFill="text2" w:themeFillTint="33"/>
            <w:vAlign w:val="center"/>
          </w:tcPr>
          <w:p w14:paraId="44668163" w14:textId="77777777" w:rsidR="00D70D62" w:rsidRPr="00C04296" w:rsidRDefault="00D70D62" w:rsidP="00C04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mallCaps/>
                <w:color w:val="000000" w:themeColor="text1"/>
                <w:sz w:val="20"/>
                <w:szCs w:val="20"/>
                <w:lang w:eastAsia="es-CR"/>
              </w:rPr>
            </w:pPr>
            <w:r w:rsidRPr="00C04296">
              <w:rPr>
                <w:rFonts w:ascii="Calibri" w:eastAsia="Times New Roman" w:hAnsi="Calibri" w:cs="Calibri"/>
                <w:b/>
                <w:bCs/>
                <w:smallCaps/>
                <w:color w:val="000000" w:themeColor="text1"/>
                <w:sz w:val="22"/>
                <w:lang w:eastAsia="es-CR"/>
              </w:rPr>
              <w:t>Proyecto</w:t>
            </w:r>
          </w:p>
        </w:tc>
        <w:tc>
          <w:tcPr>
            <w:tcW w:w="1050" w:type="dxa"/>
            <w:shd w:val="clear" w:color="auto" w:fill="C6D9F1" w:themeFill="text2" w:themeFillTint="33"/>
          </w:tcPr>
          <w:p w14:paraId="2B7E9426" w14:textId="429ECB76" w:rsidR="00D70D62" w:rsidRPr="00C04296" w:rsidRDefault="00D70D62" w:rsidP="00C04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CR"/>
              </w:rPr>
            </w:pPr>
            <w:r w:rsidRPr="00FC46C3">
              <w:rPr>
                <w:rFonts w:ascii="Calibri" w:eastAsia="Times New Roman" w:hAnsi="Calibri" w:cs="Calibri"/>
                <w:b/>
                <w:bCs/>
                <w:smallCaps/>
                <w:color w:val="000000" w:themeColor="text1"/>
                <w:sz w:val="22"/>
                <w:lang w:eastAsia="es-CR"/>
              </w:rPr>
              <w:t xml:space="preserve">Meta 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1F7173A0" w14:textId="06029F74" w:rsidR="00D70D62" w:rsidRPr="00C04296" w:rsidRDefault="00D70D62" w:rsidP="00C04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mallCaps/>
                <w:color w:val="000000" w:themeColor="text1"/>
                <w:sz w:val="22"/>
                <w:lang w:eastAsia="es-CR"/>
              </w:rPr>
            </w:pPr>
            <w:r>
              <w:rPr>
                <w:rFonts w:ascii="Calibri" w:eastAsia="Times New Roman" w:hAnsi="Calibri" w:cs="Calibri"/>
                <w:b/>
                <w:bCs/>
                <w:smallCaps/>
                <w:color w:val="000000" w:themeColor="text1"/>
                <w:sz w:val="22"/>
                <w:lang w:eastAsia="es-CR"/>
              </w:rPr>
              <w:t>Cumplimiento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6865129E" w14:textId="4B5699D8" w:rsidR="00D70D62" w:rsidRDefault="00D70D62" w:rsidP="00C04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mallCaps/>
                <w:color w:val="000000" w:themeColor="text1"/>
                <w:sz w:val="22"/>
                <w:lang w:eastAsia="es-CR"/>
              </w:rPr>
            </w:pPr>
            <w:r>
              <w:rPr>
                <w:rFonts w:ascii="Calibri" w:eastAsia="Times New Roman" w:hAnsi="Calibri" w:cs="Calibri"/>
                <w:b/>
                <w:bCs/>
                <w:smallCaps/>
                <w:color w:val="000000" w:themeColor="text1"/>
                <w:sz w:val="22"/>
                <w:lang w:eastAsia="es-CR"/>
              </w:rPr>
              <w:t>Resultado</w:t>
            </w:r>
          </w:p>
        </w:tc>
      </w:tr>
      <w:tr w:rsidR="00D70D62" w:rsidRPr="00C04296" w14:paraId="679E9709" w14:textId="14699317" w:rsidTr="00CD4DA1">
        <w:trPr>
          <w:trHeight w:val="290"/>
          <w:jc w:val="center"/>
        </w:trPr>
        <w:tc>
          <w:tcPr>
            <w:tcW w:w="3629" w:type="dxa"/>
            <w:shd w:val="clear" w:color="auto" w:fill="FFFFFF" w:themeFill="background1"/>
            <w:vAlign w:val="center"/>
          </w:tcPr>
          <w:p w14:paraId="34CBB9E7" w14:textId="0B6D94CF" w:rsidR="00D70D62" w:rsidRPr="00C04296" w:rsidRDefault="00D70D62" w:rsidP="00C0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C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CR"/>
              </w:rPr>
              <w:t>Proy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CR"/>
              </w:rPr>
              <w:t xml:space="preserve"> – 11 Expediente </w:t>
            </w:r>
            <w:r w:rsidR="00384E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CR"/>
              </w:rPr>
              <w:t>electrónico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CR"/>
              </w:rPr>
              <w:t xml:space="preserve"> – Fase II </w:t>
            </w:r>
          </w:p>
        </w:tc>
        <w:tc>
          <w:tcPr>
            <w:tcW w:w="1050" w:type="dxa"/>
            <w:shd w:val="clear" w:color="auto" w:fill="FFFFFF" w:themeFill="background1"/>
          </w:tcPr>
          <w:p w14:paraId="06A79F80" w14:textId="3AB0EA32" w:rsidR="00D70D62" w:rsidRPr="00C04296" w:rsidRDefault="00D70D62" w:rsidP="00C04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C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CR"/>
              </w:rPr>
              <w:t>80%</w:t>
            </w:r>
          </w:p>
        </w:tc>
        <w:tc>
          <w:tcPr>
            <w:tcW w:w="1417" w:type="dxa"/>
            <w:shd w:val="clear" w:color="auto" w:fill="FFFFFF" w:themeFill="background1"/>
          </w:tcPr>
          <w:p w14:paraId="6D466F9A" w14:textId="3B15D418" w:rsidR="00D70D62" w:rsidRPr="00C04296" w:rsidRDefault="00D70D62" w:rsidP="00C04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C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CR"/>
              </w:rPr>
              <w:t>75%</w:t>
            </w:r>
          </w:p>
        </w:tc>
        <w:tc>
          <w:tcPr>
            <w:tcW w:w="1418" w:type="dxa"/>
            <w:shd w:val="clear" w:color="auto" w:fill="FFFFFF" w:themeFill="background1"/>
          </w:tcPr>
          <w:p w14:paraId="313C9E4A" w14:textId="5E55394C" w:rsidR="00D70D62" w:rsidRPr="00C04296" w:rsidRDefault="00F8153C" w:rsidP="00C04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C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CR"/>
              </w:rPr>
              <w:t>9</w:t>
            </w:r>
            <w:r w:rsidR="005F36C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CR"/>
              </w:rPr>
              <w:t>4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CR"/>
              </w:rPr>
              <w:t>%</w:t>
            </w:r>
          </w:p>
        </w:tc>
      </w:tr>
      <w:tr w:rsidR="00D70D62" w:rsidRPr="00C04296" w14:paraId="19C57EC5" w14:textId="2A666328" w:rsidTr="00CD4DA1">
        <w:trPr>
          <w:trHeight w:val="290"/>
          <w:jc w:val="center"/>
        </w:trPr>
        <w:tc>
          <w:tcPr>
            <w:tcW w:w="3629" w:type="dxa"/>
            <w:shd w:val="clear" w:color="auto" w:fill="FFFFFF" w:themeFill="background1"/>
            <w:vAlign w:val="center"/>
          </w:tcPr>
          <w:p w14:paraId="4A15348C" w14:textId="01C98FA2" w:rsidR="00D70D62" w:rsidRPr="00C04296" w:rsidRDefault="00721BCA" w:rsidP="00C0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C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CR"/>
              </w:rPr>
              <w:t>Proy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CR"/>
              </w:rPr>
              <w:t xml:space="preserve"> – 37 Optimus </w:t>
            </w:r>
          </w:p>
        </w:tc>
        <w:tc>
          <w:tcPr>
            <w:tcW w:w="1050" w:type="dxa"/>
            <w:shd w:val="clear" w:color="auto" w:fill="FFFFFF" w:themeFill="background1"/>
          </w:tcPr>
          <w:p w14:paraId="2A8DB780" w14:textId="0B7F5B50" w:rsidR="00D70D62" w:rsidRPr="00C04296" w:rsidRDefault="00721BCA" w:rsidP="00C04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C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CR"/>
              </w:rPr>
              <w:t>22%</w:t>
            </w:r>
          </w:p>
        </w:tc>
        <w:tc>
          <w:tcPr>
            <w:tcW w:w="1417" w:type="dxa"/>
            <w:shd w:val="clear" w:color="auto" w:fill="FFFFFF" w:themeFill="background1"/>
          </w:tcPr>
          <w:p w14:paraId="66BF7048" w14:textId="68C8ABC0" w:rsidR="00D70D62" w:rsidRPr="00C04296" w:rsidRDefault="00721BCA" w:rsidP="00C04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C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CR"/>
              </w:rPr>
              <w:t>17%</w:t>
            </w:r>
          </w:p>
        </w:tc>
        <w:tc>
          <w:tcPr>
            <w:tcW w:w="1418" w:type="dxa"/>
            <w:shd w:val="clear" w:color="auto" w:fill="FFFFFF" w:themeFill="background1"/>
          </w:tcPr>
          <w:p w14:paraId="34F6C050" w14:textId="2187DE1C" w:rsidR="00D70D62" w:rsidRPr="00C04296" w:rsidRDefault="005F36CC" w:rsidP="00C04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C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CR"/>
              </w:rPr>
              <w:t>77%</w:t>
            </w:r>
          </w:p>
        </w:tc>
      </w:tr>
      <w:tr w:rsidR="00C360E5" w:rsidRPr="00C04296" w14:paraId="312AA7EF" w14:textId="796387B2" w:rsidTr="00CD4DA1">
        <w:trPr>
          <w:trHeight w:val="311"/>
          <w:jc w:val="center"/>
        </w:trPr>
        <w:tc>
          <w:tcPr>
            <w:tcW w:w="3629" w:type="dxa"/>
            <w:shd w:val="clear" w:color="auto" w:fill="FFFFFF" w:themeFill="background1"/>
            <w:vAlign w:val="center"/>
          </w:tcPr>
          <w:p w14:paraId="489D1A2A" w14:textId="04FF3834" w:rsidR="00D70D62" w:rsidRPr="00384E87" w:rsidRDefault="005F36CC" w:rsidP="00C0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CR"/>
              </w:rPr>
            </w:pPr>
            <w:proofErr w:type="spellStart"/>
            <w:r w:rsidRPr="00384E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CR"/>
              </w:rPr>
              <w:t>Proy</w:t>
            </w:r>
            <w:proofErr w:type="spellEnd"/>
            <w:r w:rsidRPr="00384E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CR"/>
              </w:rPr>
              <w:t xml:space="preserve"> </w:t>
            </w:r>
            <w:r w:rsidR="00487C0F" w:rsidRPr="00384E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CR"/>
              </w:rPr>
              <w:t>–</w:t>
            </w:r>
            <w:r w:rsidRPr="00384E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CR"/>
              </w:rPr>
              <w:t xml:space="preserve"> </w:t>
            </w:r>
            <w:r w:rsidR="00487C0F" w:rsidRPr="00384E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CR"/>
              </w:rPr>
              <w:t>32 Implementación del Plan de acción de la AE de TI 2019</w:t>
            </w:r>
          </w:p>
        </w:tc>
        <w:tc>
          <w:tcPr>
            <w:tcW w:w="1050" w:type="dxa"/>
            <w:shd w:val="clear" w:color="auto" w:fill="FFFFFF" w:themeFill="background1"/>
          </w:tcPr>
          <w:p w14:paraId="4E01ABDA" w14:textId="71E18C11" w:rsidR="00D70D62" w:rsidRPr="00384E87" w:rsidRDefault="00487C0F" w:rsidP="00C04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CR"/>
              </w:rPr>
            </w:pPr>
            <w:r w:rsidRPr="00384E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CR"/>
              </w:rPr>
              <w:t>21%</w:t>
            </w:r>
          </w:p>
        </w:tc>
        <w:tc>
          <w:tcPr>
            <w:tcW w:w="1417" w:type="dxa"/>
            <w:shd w:val="clear" w:color="auto" w:fill="FFFFFF" w:themeFill="background1"/>
          </w:tcPr>
          <w:p w14:paraId="2CBB6308" w14:textId="4952E6C8" w:rsidR="00D70D62" w:rsidRPr="00384E87" w:rsidRDefault="00487C0F" w:rsidP="00C04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CR"/>
              </w:rPr>
            </w:pPr>
            <w:r w:rsidRPr="00384E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CR"/>
              </w:rPr>
              <w:t>32%</w:t>
            </w:r>
          </w:p>
        </w:tc>
        <w:tc>
          <w:tcPr>
            <w:tcW w:w="1418" w:type="dxa"/>
            <w:shd w:val="clear" w:color="auto" w:fill="FFFFFF" w:themeFill="background1"/>
          </w:tcPr>
          <w:p w14:paraId="7A59BB16" w14:textId="10B5951E" w:rsidR="00D70D62" w:rsidRPr="00384E87" w:rsidRDefault="00652236" w:rsidP="00C04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CR"/>
              </w:rPr>
            </w:pPr>
            <w:r w:rsidRPr="00384E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CR"/>
              </w:rPr>
              <w:t>100%</w:t>
            </w:r>
          </w:p>
        </w:tc>
      </w:tr>
    </w:tbl>
    <w:p w14:paraId="451D3938" w14:textId="1DF8940B" w:rsidR="00C04296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23"/>
          <w:szCs w:val="23"/>
          <w:lang w:val="es-MX" w:eastAsia="es-ES"/>
        </w:rPr>
      </w:pPr>
    </w:p>
    <w:p w14:paraId="64542AF5" w14:textId="69E91AF2" w:rsidR="00C50C81" w:rsidRDefault="00C50C81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23"/>
          <w:szCs w:val="23"/>
          <w:lang w:val="es-MX" w:eastAsia="es-ES"/>
        </w:rPr>
      </w:pPr>
    </w:p>
    <w:p w14:paraId="2EBBB538" w14:textId="77777777" w:rsidR="003A3D7F" w:rsidRPr="00C04296" w:rsidRDefault="003A3D7F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23"/>
          <w:szCs w:val="23"/>
          <w:lang w:val="es-MX" w:eastAsia="es-ES"/>
        </w:rPr>
      </w:pPr>
    </w:p>
    <w:p w14:paraId="0D28F97B" w14:textId="77777777" w:rsidR="00C04296" w:rsidRPr="00C04296" w:rsidRDefault="00C04296" w:rsidP="00B66740">
      <w:pPr>
        <w:numPr>
          <w:ilvl w:val="1"/>
          <w:numId w:val="9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smallCaps/>
          <w:sz w:val="26"/>
          <w:szCs w:val="26"/>
          <w:lang w:eastAsia="es-ES"/>
        </w:rPr>
      </w:pPr>
      <w:r w:rsidRPr="00C04296">
        <w:rPr>
          <w:rFonts w:asciiTheme="minorHAnsi" w:eastAsia="Times New Roman" w:hAnsiTheme="minorHAnsi" w:cstheme="minorHAnsi"/>
          <w:b/>
          <w:smallCaps/>
          <w:sz w:val="26"/>
          <w:szCs w:val="26"/>
          <w:lang w:eastAsia="es-ES"/>
        </w:rPr>
        <w:t xml:space="preserve"> Perspectiva Procesos Internos</w:t>
      </w:r>
    </w:p>
    <w:p w14:paraId="77F798E1" w14:textId="77777777" w:rsidR="00C04296" w:rsidRPr="00C04296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mallCaps/>
          <w:sz w:val="26"/>
          <w:szCs w:val="26"/>
          <w:lang w:eastAsia="es-ES"/>
        </w:rPr>
      </w:pPr>
    </w:p>
    <w:p w14:paraId="70B0EE97" w14:textId="4D937BE7" w:rsidR="00C04296" w:rsidRPr="00C04296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</w:pPr>
      <w:r w:rsidRPr="00C04296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La calificación obtenida de esta perspectiva fue de un </w:t>
      </w:r>
      <w:r w:rsidR="00C50C81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52</w:t>
      </w:r>
      <w:r w:rsidRPr="00C04296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%, su cumplimiento se presenta en el siguiente cuadro: </w:t>
      </w:r>
    </w:p>
    <w:p w14:paraId="6AC44C02" w14:textId="67BFB9BD" w:rsidR="00C04296" w:rsidRPr="00C04296" w:rsidRDefault="00C04296" w:rsidP="00C042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mallCaps/>
          <w:sz w:val="22"/>
          <w:szCs w:val="23"/>
          <w:lang w:val="es-MX" w:eastAsia="es-ES"/>
        </w:rPr>
      </w:pPr>
      <w:r w:rsidRPr="00C04296">
        <w:rPr>
          <w:rFonts w:asciiTheme="minorHAnsi" w:eastAsia="Times New Roman" w:hAnsiTheme="minorHAnsi" w:cstheme="minorHAnsi"/>
          <w:b/>
          <w:smallCaps/>
          <w:sz w:val="22"/>
          <w:szCs w:val="23"/>
          <w:lang w:val="es-MX" w:eastAsia="es-ES"/>
        </w:rPr>
        <w:t xml:space="preserve">Cuadro </w:t>
      </w:r>
      <w:r w:rsidR="003A3D7F">
        <w:rPr>
          <w:rFonts w:asciiTheme="minorHAnsi" w:eastAsia="Times New Roman" w:hAnsiTheme="minorHAnsi" w:cstheme="minorHAnsi"/>
          <w:b/>
          <w:smallCaps/>
          <w:sz w:val="22"/>
          <w:szCs w:val="23"/>
          <w:lang w:val="es-MX" w:eastAsia="es-ES"/>
        </w:rPr>
        <w:t>5</w:t>
      </w:r>
    </w:p>
    <w:p w14:paraId="07A4D96C" w14:textId="77777777" w:rsidR="00C04296" w:rsidRPr="00C04296" w:rsidRDefault="00C04296" w:rsidP="00C042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mallCaps/>
          <w:sz w:val="22"/>
          <w:szCs w:val="23"/>
          <w:lang w:val="es-MX" w:eastAsia="es-ES"/>
        </w:rPr>
      </w:pPr>
      <w:r w:rsidRPr="00C04296">
        <w:rPr>
          <w:rFonts w:asciiTheme="minorHAnsi" w:eastAsia="Times New Roman" w:hAnsiTheme="minorHAnsi" w:cstheme="minorHAnsi"/>
          <w:b/>
          <w:smallCaps/>
          <w:sz w:val="22"/>
          <w:szCs w:val="23"/>
          <w:lang w:val="es-MX" w:eastAsia="es-ES"/>
        </w:rPr>
        <w:t>Composición de la Perspectiva</w:t>
      </w:r>
    </w:p>
    <w:p w14:paraId="5A35BEE7" w14:textId="77777777" w:rsidR="00C04296" w:rsidRPr="00C04296" w:rsidRDefault="00C04296" w:rsidP="00C042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mallCaps/>
          <w:sz w:val="22"/>
          <w:szCs w:val="23"/>
          <w:lang w:val="es-MX" w:eastAsia="es-ES"/>
        </w:rPr>
      </w:pPr>
    </w:p>
    <w:tbl>
      <w:tblPr>
        <w:tblStyle w:val="Tablaconcuadrcula"/>
        <w:tblW w:w="9742" w:type="dxa"/>
        <w:jc w:val="center"/>
        <w:tblLook w:val="04A0" w:firstRow="1" w:lastRow="0" w:firstColumn="1" w:lastColumn="0" w:noHBand="0" w:noVBand="1"/>
      </w:tblPr>
      <w:tblGrid>
        <w:gridCol w:w="3500"/>
        <w:gridCol w:w="2810"/>
        <w:gridCol w:w="1061"/>
        <w:gridCol w:w="1163"/>
        <w:gridCol w:w="1208"/>
      </w:tblGrid>
      <w:tr w:rsidR="00564C7D" w:rsidRPr="00C04296" w14:paraId="7AEA41F3" w14:textId="77777777" w:rsidTr="00CC79B3">
        <w:trPr>
          <w:trHeight w:val="517"/>
          <w:tblHeader/>
          <w:jc w:val="center"/>
        </w:trPr>
        <w:tc>
          <w:tcPr>
            <w:tcW w:w="3500" w:type="dxa"/>
            <w:vMerge w:val="restart"/>
            <w:shd w:val="clear" w:color="auto" w:fill="C6D9F1" w:themeFill="text2" w:themeFillTint="33"/>
            <w:vAlign w:val="center"/>
            <w:hideMark/>
          </w:tcPr>
          <w:p w14:paraId="5AE9865F" w14:textId="77777777" w:rsidR="00564C7D" w:rsidRPr="00C04296" w:rsidRDefault="00564C7D" w:rsidP="00C04296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 w:eastAsia="es-ES"/>
              </w:rPr>
            </w:pPr>
            <w:r w:rsidRPr="00C04296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 w:eastAsia="es-ES"/>
              </w:rPr>
              <w:t>Objetivo Estratégico</w:t>
            </w:r>
          </w:p>
        </w:tc>
        <w:tc>
          <w:tcPr>
            <w:tcW w:w="2810" w:type="dxa"/>
            <w:vMerge w:val="restart"/>
            <w:shd w:val="clear" w:color="auto" w:fill="C6D9F1" w:themeFill="text2" w:themeFillTint="33"/>
            <w:vAlign w:val="center"/>
            <w:hideMark/>
          </w:tcPr>
          <w:p w14:paraId="4BD4DE47" w14:textId="77777777" w:rsidR="00564C7D" w:rsidRPr="00C04296" w:rsidRDefault="00564C7D" w:rsidP="00C04296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 w:eastAsia="es-ES"/>
              </w:rPr>
            </w:pPr>
            <w:r w:rsidRPr="00C04296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 w:eastAsia="es-ES"/>
              </w:rPr>
              <w:t>Indicador</w:t>
            </w:r>
          </w:p>
        </w:tc>
        <w:tc>
          <w:tcPr>
            <w:tcW w:w="1061" w:type="dxa"/>
            <w:vMerge w:val="restart"/>
            <w:shd w:val="clear" w:color="auto" w:fill="C6D9F1" w:themeFill="text2" w:themeFillTint="33"/>
            <w:vAlign w:val="center"/>
            <w:hideMark/>
          </w:tcPr>
          <w:p w14:paraId="4060159F" w14:textId="0CEB0358" w:rsidR="00564C7D" w:rsidRPr="00C04296" w:rsidRDefault="00564C7D" w:rsidP="00C04296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 w:eastAsia="es-ES"/>
              </w:rPr>
            </w:pPr>
            <w:r w:rsidRPr="00C04296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 w:eastAsia="es-ES"/>
              </w:rPr>
              <w:t>Meta 20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 w:eastAsia="es-ES"/>
              </w:rPr>
              <w:t>20</w:t>
            </w:r>
          </w:p>
        </w:tc>
        <w:tc>
          <w:tcPr>
            <w:tcW w:w="1163" w:type="dxa"/>
            <w:vMerge w:val="restart"/>
            <w:shd w:val="clear" w:color="auto" w:fill="C6D9F1" w:themeFill="text2" w:themeFillTint="33"/>
            <w:vAlign w:val="center"/>
            <w:hideMark/>
          </w:tcPr>
          <w:p w14:paraId="412A47B5" w14:textId="77777777" w:rsidR="00564C7D" w:rsidRPr="00C04296" w:rsidRDefault="00564C7D" w:rsidP="00C04296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 w:eastAsia="es-ES"/>
              </w:rPr>
            </w:pPr>
            <w:r w:rsidRPr="00C04296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 w:eastAsia="es-ES"/>
              </w:rPr>
              <w:t>Resultado</w:t>
            </w:r>
          </w:p>
        </w:tc>
        <w:tc>
          <w:tcPr>
            <w:tcW w:w="1208" w:type="dxa"/>
            <w:vMerge w:val="restart"/>
            <w:shd w:val="clear" w:color="auto" w:fill="C6D9F1" w:themeFill="text2" w:themeFillTint="33"/>
            <w:vAlign w:val="center"/>
            <w:hideMark/>
          </w:tcPr>
          <w:p w14:paraId="0E0DC785" w14:textId="77777777" w:rsidR="00564C7D" w:rsidRPr="00C04296" w:rsidRDefault="00564C7D" w:rsidP="00C04296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 w:eastAsia="es-ES"/>
              </w:rPr>
            </w:pPr>
            <w:r w:rsidRPr="00C04296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 w:eastAsia="es-ES"/>
              </w:rPr>
              <w:t>Puntuación</w:t>
            </w:r>
          </w:p>
        </w:tc>
      </w:tr>
      <w:tr w:rsidR="00564C7D" w:rsidRPr="00C04296" w14:paraId="32FBFC58" w14:textId="77777777" w:rsidTr="00CC79B3">
        <w:trPr>
          <w:trHeight w:val="517"/>
          <w:tblHeader/>
          <w:jc w:val="center"/>
        </w:trPr>
        <w:tc>
          <w:tcPr>
            <w:tcW w:w="3500" w:type="dxa"/>
            <w:vMerge/>
            <w:shd w:val="clear" w:color="auto" w:fill="C6D9F1" w:themeFill="text2" w:themeFillTint="33"/>
            <w:hideMark/>
          </w:tcPr>
          <w:p w14:paraId="07F10A7B" w14:textId="77777777" w:rsidR="00564C7D" w:rsidRPr="00C04296" w:rsidRDefault="00564C7D" w:rsidP="00C04296">
            <w:pPr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  <w:lang w:val="es-ES" w:eastAsia="es-ES"/>
              </w:rPr>
            </w:pPr>
          </w:p>
        </w:tc>
        <w:tc>
          <w:tcPr>
            <w:tcW w:w="2810" w:type="dxa"/>
            <w:vMerge/>
            <w:shd w:val="clear" w:color="auto" w:fill="C6D9F1" w:themeFill="text2" w:themeFillTint="33"/>
            <w:hideMark/>
          </w:tcPr>
          <w:p w14:paraId="452BC642" w14:textId="77777777" w:rsidR="00564C7D" w:rsidRPr="00C04296" w:rsidRDefault="00564C7D" w:rsidP="00C04296">
            <w:pPr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  <w:lang w:val="es-ES" w:eastAsia="es-ES"/>
              </w:rPr>
            </w:pPr>
          </w:p>
        </w:tc>
        <w:tc>
          <w:tcPr>
            <w:tcW w:w="1061" w:type="dxa"/>
            <w:vMerge/>
            <w:shd w:val="clear" w:color="auto" w:fill="C6D9F1" w:themeFill="text2" w:themeFillTint="33"/>
            <w:hideMark/>
          </w:tcPr>
          <w:p w14:paraId="3B61A6F2" w14:textId="77777777" w:rsidR="00564C7D" w:rsidRPr="00C04296" w:rsidRDefault="00564C7D" w:rsidP="00C04296">
            <w:pPr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  <w:lang w:val="es-ES" w:eastAsia="es-ES"/>
              </w:rPr>
            </w:pPr>
          </w:p>
        </w:tc>
        <w:tc>
          <w:tcPr>
            <w:tcW w:w="1163" w:type="dxa"/>
            <w:vMerge/>
            <w:shd w:val="clear" w:color="auto" w:fill="C6D9F1" w:themeFill="text2" w:themeFillTint="33"/>
            <w:hideMark/>
          </w:tcPr>
          <w:p w14:paraId="2C4E6B01" w14:textId="77777777" w:rsidR="00564C7D" w:rsidRPr="00C04296" w:rsidRDefault="00564C7D" w:rsidP="00C04296">
            <w:pPr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  <w:lang w:val="es-ES" w:eastAsia="es-ES"/>
              </w:rPr>
            </w:pPr>
          </w:p>
        </w:tc>
        <w:tc>
          <w:tcPr>
            <w:tcW w:w="1208" w:type="dxa"/>
            <w:vMerge/>
            <w:shd w:val="clear" w:color="auto" w:fill="C6D9F1" w:themeFill="text2" w:themeFillTint="33"/>
            <w:hideMark/>
          </w:tcPr>
          <w:p w14:paraId="576BDE14" w14:textId="77777777" w:rsidR="00564C7D" w:rsidRPr="00C04296" w:rsidRDefault="00564C7D" w:rsidP="00C04296">
            <w:pPr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  <w:lang w:val="es-ES" w:eastAsia="es-ES"/>
              </w:rPr>
            </w:pPr>
          </w:p>
        </w:tc>
      </w:tr>
      <w:tr w:rsidR="00564C7D" w:rsidRPr="00C04296" w14:paraId="039DFC14" w14:textId="77777777" w:rsidTr="003A3D7F">
        <w:trPr>
          <w:trHeight w:val="882"/>
          <w:jc w:val="center"/>
        </w:trPr>
        <w:tc>
          <w:tcPr>
            <w:tcW w:w="3500" w:type="dxa"/>
            <w:hideMark/>
          </w:tcPr>
          <w:p w14:paraId="080C8494" w14:textId="77777777" w:rsidR="00564C7D" w:rsidRPr="00667DA7" w:rsidRDefault="00564C7D" w:rsidP="00C04296">
            <w:pPr>
              <w:jc w:val="both"/>
              <w:rPr>
                <w:rFonts w:asciiTheme="minorHAnsi" w:hAnsiTheme="minorHAnsi" w:cstheme="minorHAnsi"/>
                <w:lang w:val="es-ES" w:eastAsia="es-ES"/>
              </w:rPr>
            </w:pPr>
            <w:r w:rsidRPr="00667DA7">
              <w:rPr>
                <w:rFonts w:asciiTheme="minorHAnsi" w:hAnsiTheme="minorHAnsi" w:cstheme="minorHAnsi"/>
                <w:lang w:val="es-ES" w:eastAsia="es-ES"/>
              </w:rPr>
              <w:t>PI-01 Tramitar con agilidad los subsidios art. 59</w:t>
            </w:r>
          </w:p>
        </w:tc>
        <w:tc>
          <w:tcPr>
            <w:tcW w:w="2810" w:type="dxa"/>
            <w:hideMark/>
          </w:tcPr>
          <w:p w14:paraId="6346D59D" w14:textId="77777777" w:rsidR="00564C7D" w:rsidRPr="00C04296" w:rsidRDefault="00564C7D" w:rsidP="00C04296">
            <w:pPr>
              <w:jc w:val="center"/>
              <w:rPr>
                <w:rFonts w:asciiTheme="minorHAnsi" w:hAnsiTheme="minorHAnsi" w:cstheme="minorHAnsi"/>
                <w:lang w:val="es-ES" w:eastAsia="es-ES"/>
              </w:rPr>
            </w:pPr>
            <w:r w:rsidRPr="00C04296">
              <w:rPr>
                <w:rFonts w:asciiTheme="minorHAnsi" w:hAnsiTheme="minorHAnsi" w:cstheme="minorHAnsi"/>
                <w:lang w:val="es-ES" w:eastAsia="es-ES"/>
              </w:rPr>
              <w:t>Porcentaje de bonos artículo 59 individual que se aprueban en el tiempo determinado</w:t>
            </w:r>
          </w:p>
        </w:tc>
        <w:tc>
          <w:tcPr>
            <w:tcW w:w="1061" w:type="dxa"/>
          </w:tcPr>
          <w:p w14:paraId="2F7DDC8D" w14:textId="666F5D2C" w:rsidR="00564C7D" w:rsidRPr="00C04296" w:rsidRDefault="00B45F01" w:rsidP="00C04296">
            <w:pPr>
              <w:jc w:val="center"/>
              <w:rPr>
                <w:rFonts w:asciiTheme="minorHAnsi" w:hAnsiTheme="minorHAnsi" w:cstheme="minorHAnsi"/>
                <w:lang w:val="es-ES" w:eastAsia="es-ES"/>
              </w:rPr>
            </w:pPr>
            <w:r>
              <w:rPr>
                <w:rFonts w:asciiTheme="minorHAnsi" w:hAnsiTheme="minorHAnsi" w:cstheme="minorHAnsi"/>
                <w:lang w:val="es-ES" w:eastAsia="es-ES"/>
              </w:rPr>
              <w:t>85</w:t>
            </w:r>
            <w:r w:rsidR="00564C7D" w:rsidRPr="00C04296">
              <w:rPr>
                <w:rFonts w:asciiTheme="minorHAnsi" w:hAnsiTheme="minorHAnsi" w:cstheme="minorHAnsi"/>
                <w:lang w:val="es-ES" w:eastAsia="es-ES"/>
              </w:rPr>
              <w:t>%</w:t>
            </w:r>
          </w:p>
        </w:tc>
        <w:tc>
          <w:tcPr>
            <w:tcW w:w="1163" w:type="dxa"/>
          </w:tcPr>
          <w:p w14:paraId="0A82D203" w14:textId="062551A5" w:rsidR="00564C7D" w:rsidRPr="00C04296" w:rsidRDefault="00A7645B" w:rsidP="00C04296">
            <w:pPr>
              <w:jc w:val="center"/>
              <w:rPr>
                <w:rFonts w:asciiTheme="minorHAnsi" w:hAnsiTheme="minorHAnsi" w:cstheme="minorHAnsi"/>
                <w:lang w:val="es-ES" w:eastAsia="es-ES"/>
              </w:rPr>
            </w:pPr>
            <w:r>
              <w:rPr>
                <w:rFonts w:asciiTheme="minorHAnsi" w:hAnsiTheme="minorHAnsi" w:cstheme="minorHAnsi"/>
                <w:lang w:val="es-ES" w:eastAsia="es-ES"/>
              </w:rPr>
              <w:t>42,66%</w:t>
            </w:r>
          </w:p>
        </w:tc>
        <w:tc>
          <w:tcPr>
            <w:tcW w:w="1208" w:type="dxa"/>
            <w:shd w:val="clear" w:color="auto" w:fill="FF0000"/>
          </w:tcPr>
          <w:p w14:paraId="64D88D28" w14:textId="22D0785D" w:rsidR="00564C7D" w:rsidRPr="003A3D7F" w:rsidRDefault="00A7645B" w:rsidP="00C0429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lang w:val="es-ES" w:eastAsia="es-ES"/>
              </w:rPr>
            </w:pPr>
            <w:r w:rsidRPr="003A3D7F"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s-ES" w:eastAsia="es-ES"/>
              </w:rPr>
              <w:t>50%</w:t>
            </w:r>
          </w:p>
        </w:tc>
      </w:tr>
      <w:tr w:rsidR="00564C7D" w:rsidRPr="00C04296" w14:paraId="2706E683" w14:textId="77777777" w:rsidTr="00CC79B3">
        <w:trPr>
          <w:trHeight w:val="1200"/>
          <w:jc w:val="center"/>
        </w:trPr>
        <w:tc>
          <w:tcPr>
            <w:tcW w:w="3500" w:type="dxa"/>
            <w:hideMark/>
          </w:tcPr>
          <w:p w14:paraId="5EDC2E1B" w14:textId="77777777" w:rsidR="00564C7D" w:rsidRPr="00667DA7" w:rsidRDefault="00564C7D" w:rsidP="00C04296">
            <w:pPr>
              <w:jc w:val="both"/>
              <w:rPr>
                <w:rFonts w:asciiTheme="minorHAnsi" w:hAnsiTheme="minorHAnsi" w:cstheme="minorHAnsi"/>
                <w:lang w:val="es-ES" w:eastAsia="es-ES"/>
              </w:rPr>
            </w:pPr>
            <w:r w:rsidRPr="00667DA7">
              <w:rPr>
                <w:rFonts w:asciiTheme="minorHAnsi" w:hAnsiTheme="minorHAnsi" w:cstheme="minorHAnsi"/>
                <w:lang w:val="es-ES" w:eastAsia="es-ES"/>
              </w:rPr>
              <w:t>PI-02 Mejorar los procesos internos para cumplir con los plazos establecidos en la normativa vigente en trámite de proyectos de Art.59</w:t>
            </w:r>
          </w:p>
        </w:tc>
        <w:tc>
          <w:tcPr>
            <w:tcW w:w="2810" w:type="dxa"/>
            <w:hideMark/>
          </w:tcPr>
          <w:p w14:paraId="3FE1AD68" w14:textId="77777777" w:rsidR="00564C7D" w:rsidRPr="00C04296" w:rsidRDefault="00564C7D" w:rsidP="00C04296">
            <w:pPr>
              <w:jc w:val="center"/>
              <w:rPr>
                <w:rFonts w:asciiTheme="minorHAnsi" w:hAnsiTheme="minorHAnsi" w:cstheme="minorHAnsi"/>
                <w:lang w:val="es-ES" w:eastAsia="es-ES"/>
              </w:rPr>
            </w:pPr>
            <w:r w:rsidRPr="00C04296">
              <w:rPr>
                <w:rFonts w:asciiTheme="minorHAnsi" w:hAnsiTheme="minorHAnsi" w:cstheme="minorHAnsi"/>
                <w:lang w:val="es-ES" w:eastAsia="es-ES"/>
              </w:rPr>
              <w:t>Porcentaje de tramitaciones comprometidas en el tiempo determinado de proyectos art. 59</w:t>
            </w:r>
          </w:p>
        </w:tc>
        <w:tc>
          <w:tcPr>
            <w:tcW w:w="1061" w:type="dxa"/>
          </w:tcPr>
          <w:p w14:paraId="4FC64253" w14:textId="129A8F7E" w:rsidR="00564C7D" w:rsidRPr="00C04296" w:rsidRDefault="007C3064" w:rsidP="00C04296">
            <w:pPr>
              <w:jc w:val="center"/>
              <w:rPr>
                <w:rFonts w:asciiTheme="minorHAnsi" w:hAnsiTheme="minorHAnsi" w:cstheme="minorHAnsi"/>
                <w:lang w:val="es-ES" w:eastAsia="es-ES"/>
              </w:rPr>
            </w:pPr>
            <w:r>
              <w:rPr>
                <w:rFonts w:asciiTheme="minorHAnsi" w:hAnsiTheme="minorHAnsi" w:cstheme="minorHAnsi"/>
                <w:lang w:val="es-ES" w:eastAsia="es-ES"/>
              </w:rPr>
              <w:t>80%</w:t>
            </w:r>
          </w:p>
        </w:tc>
        <w:tc>
          <w:tcPr>
            <w:tcW w:w="1163" w:type="dxa"/>
          </w:tcPr>
          <w:p w14:paraId="03EB584D" w14:textId="505DC47B" w:rsidR="00564C7D" w:rsidRPr="00C04296" w:rsidRDefault="007C3064" w:rsidP="00C04296">
            <w:pPr>
              <w:jc w:val="center"/>
              <w:rPr>
                <w:rFonts w:asciiTheme="minorHAnsi" w:hAnsiTheme="minorHAnsi" w:cstheme="minorHAnsi"/>
                <w:lang w:val="es-ES" w:eastAsia="es-ES"/>
              </w:rPr>
            </w:pPr>
            <w:r>
              <w:rPr>
                <w:rFonts w:asciiTheme="minorHAnsi" w:hAnsiTheme="minorHAnsi" w:cstheme="minorHAnsi"/>
                <w:lang w:val="es-ES" w:eastAsia="es-ES"/>
              </w:rPr>
              <w:t>100%</w:t>
            </w:r>
          </w:p>
        </w:tc>
        <w:tc>
          <w:tcPr>
            <w:tcW w:w="1208" w:type="dxa"/>
            <w:shd w:val="clear" w:color="auto" w:fill="auto"/>
          </w:tcPr>
          <w:p w14:paraId="76A735E5" w14:textId="42FF7AA9" w:rsidR="00564C7D" w:rsidRPr="00A7645B" w:rsidRDefault="007C3064" w:rsidP="00C0429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lang w:val="es-ES" w:eastAsia="es-E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lang w:val="es-ES" w:eastAsia="es-ES"/>
              </w:rPr>
              <w:t>100%</w:t>
            </w:r>
          </w:p>
        </w:tc>
      </w:tr>
      <w:tr w:rsidR="00564C7D" w:rsidRPr="00C04296" w14:paraId="39D780AE" w14:textId="77777777" w:rsidTr="00CC79B3">
        <w:trPr>
          <w:trHeight w:val="1054"/>
          <w:jc w:val="center"/>
        </w:trPr>
        <w:tc>
          <w:tcPr>
            <w:tcW w:w="3500" w:type="dxa"/>
          </w:tcPr>
          <w:p w14:paraId="4EC60010" w14:textId="77777777" w:rsidR="00564C7D" w:rsidRPr="00667DA7" w:rsidRDefault="00564C7D" w:rsidP="00C04296">
            <w:pPr>
              <w:jc w:val="both"/>
              <w:rPr>
                <w:rFonts w:asciiTheme="minorHAnsi" w:hAnsiTheme="minorHAnsi" w:cstheme="minorHAnsi"/>
                <w:lang w:val="es-ES" w:eastAsia="es-ES"/>
              </w:rPr>
            </w:pPr>
            <w:r w:rsidRPr="00667DA7">
              <w:rPr>
                <w:rFonts w:asciiTheme="minorHAnsi" w:hAnsiTheme="minorHAnsi" w:cstheme="minorHAnsi"/>
                <w:lang w:val="es-ES" w:eastAsia="es-ES"/>
              </w:rPr>
              <w:t xml:space="preserve">PI-03 </w:t>
            </w:r>
            <w:r w:rsidRPr="00667DA7">
              <w:rPr>
                <w:rFonts w:ascii="Calibri" w:hAnsi="Calibri"/>
                <w:color w:val="000000"/>
                <w:lang w:val="es-ES" w:eastAsia="es-ES"/>
              </w:rPr>
              <w:t>Tramitar oportunamente los financiamientos</w:t>
            </w:r>
          </w:p>
        </w:tc>
        <w:tc>
          <w:tcPr>
            <w:tcW w:w="2810" w:type="dxa"/>
          </w:tcPr>
          <w:p w14:paraId="1CFD42CD" w14:textId="77777777" w:rsidR="00564C7D" w:rsidRPr="00C04296" w:rsidRDefault="00564C7D" w:rsidP="00C04296">
            <w:pPr>
              <w:jc w:val="center"/>
              <w:rPr>
                <w:rFonts w:asciiTheme="minorHAnsi" w:hAnsiTheme="minorHAnsi" w:cstheme="minorHAnsi"/>
                <w:lang w:val="es-ES" w:eastAsia="es-ES"/>
              </w:rPr>
            </w:pPr>
            <w:r w:rsidRPr="00C04296">
              <w:rPr>
                <w:rFonts w:ascii="Calibri" w:hAnsi="Calibri"/>
                <w:color w:val="000000"/>
                <w:lang w:val="es-ES" w:eastAsia="es-ES"/>
              </w:rPr>
              <w:t>Porcentaje de tramitaciones formalizadas en el tiempo determinado de colocación de créditos</w:t>
            </w:r>
          </w:p>
        </w:tc>
        <w:tc>
          <w:tcPr>
            <w:tcW w:w="1061" w:type="dxa"/>
            <w:shd w:val="clear" w:color="auto" w:fill="auto"/>
          </w:tcPr>
          <w:p w14:paraId="3AF875E9" w14:textId="5AF81EE9" w:rsidR="00564C7D" w:rsidRPr="00C04296" w:rsidRDefault="009D31BC" w:rsidP="00C04296">
            <w:pPr>
              <w:jc w:val="center"/>
              <w:rPr>
                <w:rFonts w:asciiTheme="minorHAnsi" w:hAnsiTheme="minorHAnsi" w:cstheme="minorHAnsi"/>
                <w:lang w:val="es-ES" w:eastAsia="es-ES"/>
              </w:rPr>
            </w:pPr>
            <w:r>
              <w:rPr>
                <w:rFonts w:asciiTheme="minorHAnsi" w:hAnsiTheme="minorHAnsi" w:cstheme="minorHAnsi"/>
                <w:lang w:val="es-ES" w:eastAsia="es-ES"/>
              </w:rPr>
              <w:t>100%</w:t>
            </w:r>
          </w:p>
        </w:tc>
        <w:tc>
          <w:tcPr>
            <w:tcW w:w="1163" w:type="dxa"/>
            <w:shd w:val="clear" w:color="auto" w:fill="auto"/>
          </w:tcPr>
          <w:p w14:paraId="68D03167" w14:textId="137A339A" w:rsidR="00564C7D" w:rsidRPr="00C04296" w:rsidRDefault="009D31BC" w:rsidP="00C04296">
            <w:pPr>
              <w:jc w:val="center"/>
              <w:rPr>
                <w:rFonts w:asciiTheme="minorHAnsi" w:hAnsiTheme="minorHAnsi" w:cstheme="minorHAnsi"/>
                <w:lang w:val="es-ES" w:eastAsia="es-ES"/>
              </w:rPr>
            </w:pPr>
            <w:r>
              <w:rPr>
                <w:rFonts w:asciiTheme="minorHAnsi" w:hAnsiTheme="minorHAnsi" w:cstheme="minorHAnsi"/>
                <w:lang w:val="es-ES" w:eastAsia="es-ES"/>
              </w:rPr>
              <w:t>100%</w:t>
            </w:r>
          </w:p>
        </w:tc>
        <w:tc>
          <w:tcPr>
            <w:tcW w:w="1208" w:type="dxa"/>
            <w:shd w:val="clear" w:color="auto" w:fill="auto"/>
          </w:tcPr>
          <w:p w14:paraId="16041A62" w14:textId="76DBEFDF" w:rsidR="00564C7D" w:rsidRPr="00A7645B" w:rsidRDefault="009D31BC" w:rsidP="00C0429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lang w:val="es-ES" w:eastAsia="es-E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lang w:val="es-ES" w:eastAsia="es-ES"/>
              </w:rPr>
              <w:t>100%</w:t>
            </w:r>
          </w:p>
        </w:tc>
      </w:tr>
      <w:tr w:rsidR="00564C7D" w:rsidRPr="00C04296" w14:paraId="67E3510C" w14:textId="77777777" w:rsidTr="003A3D7F">
        <w:trPr>
          <w:trHeight w:val="864"/>
          <w:jc w:val="center"/>
        </w:trPr>
        <w:tc>
          <w:tcPr>
            <w:tcW w:w="3500" w:type="dxa"/>
          </w:tcPr>
          <w:p w14:paraId="1B70760B" w14:textId="77777777" w:rsidR="00564C7D" w:rsidRPr="00667DA7" w:rsidRDefault="00564C7D" w:rsidP="00C04296">
            <w:pPr>
              <w:jc w:val="both"/>
              <w:rPr>
                <w:rFonts w:asciiTheme="minorHAnsi" w:hAnsiTheme="minorHAnsi" w:cstheme="minorHAnsi"/>
                <w:lang w:val="es-ES" w:eastAsia="es-ES"/>
              </w:rPr>
            </w:pPr>
            <w:r w:rsidRPr="00667DA7">
              <w:rPr>
                <w:rFonts w:asciiTheme="minorHAnsi" w:hAnsiTheme="minorHAnsi" w:cstheme="minorHAnsi"/>
                <w:lang w:val="es-ES" w:eastAsia="es-ES"/>
              </w:rPr>
              <w:t>PI-04 Ejecutar eficazmente los fondos destinados a bonos comunales</w:t>
            </w:r>
          </w:p>
        </w:tc>
        <w:tc>
          <w:tcPr>
            <w:tcW w:w="2810" w:type="dxa"/>
          </w:tcPr>
          <w:p w14:paraId="446D4DE0" w14:textId="77777777" w:rsidR="00564C7D" w:rsidRPr="00C04296" w:rsidRDefault="00564C7D" w:rsidP="00C04296">
            <w:pPr>
              <w:jc w:val="center"/>
              <w:rPr>
                <w:rFonts w:asciiTheme="minorHAnsi" w:hAnsiTheme="minorHAnsi" w:cstheme="minorHAnsi"/>
                <w:lang w:val="es-ES" w:eastAsia="es-ES"/>
              </w:rPr>
            </w:pPr>
            <w:r w:rsidRPr="00C04296">
              <w:rPr>
                <w:rFonts w:asciiTheme="minorHAnsi" w:hAnsiTheme="minorHAnsi" w:cstheme="minorHAnsi"/>
                <w:lang w:val="es-ES" w:eastAsia="es-ES"/>
              </w:rPr>
              <w:t>Porcentaje de dinero comprometido en los plazos establecidos por la normativa</w:t>
            </w:r>
          </w:p>
        </w:tc>
        <w:tc>
          <w:tcPr>
            <w:tcW w:w="1061" w:type="dxa"/>
            <w:shd w:val="clear" w:color="auto" w:fill="auto"/>
          </w:tcPr>
          <w:p w14:paraId="305167F6" w14:textId="0AA472F5" w:rsidR="00564C7D" w:rsidRPr="00C04296" w:rsidRDefault="00543DE9" w:rsidP="00C04296">
            <w:pPr>
              <w:jc w:val="center"/>
              <w:rPr>
                <w:rFonts w:asciiTheme="minorHAnsi" w:hAnsiTheme="minorHAnsi" w:cstheme="minorHAnsi"/>
                <w:lang w:val="es-ES" w:eastAsia="es-ES"/>
              </w:rPr>
            </w:pPr>
            <w:r>
              <w:rPr>
                <w:rFonts w:asciiTheme="minorHAnsi" w:hAnsiTheme="minorHAnsi" w:cstheme="minorHAnsi"/>
                <w:lang w:val="es-ES" w:eastAsia="es-ES"/>
              </w:rPr>
              <w:t>100%</w:t>
            </w:r>
          </w:p>
        </w:tc>
        <w:tc>
          <w:tcPr>
            <w:tcW w:w="1163" w:type="dxa"/>
            <w:shd w:val="clear" w:color="auto" w:fill="auto"/>
          </w:tcPr>
          <w:p w14:paraId="3E0E1D30" w14:textId="12C51843" w:rsidR="00564C7D" w:rsidRPr="00C04296" w:rsidRDefault="003A3D7F" w:rsidP="00C04296">
            <w:pPr>
              <w:jc w:val="center"/>
              <w:rPr>
                <w:rFonts w:asciiTheme="minorHAnsi" w:hAnsiTheme="minorHAnsi" w:cstheme="minorHAnsi"/>
                <w:lang w:val="es-ES" w:eastAsia="es-ES"/>
              </w:rPr>
            </w:pPr>
            <w:r>
              <w:rPr>
                <w:rFonts w:asciiTheme="minorHAnsi" w:hAnsiTheme="minorHAnsi" w:cstheme="minorHAnsi"/>
                <w:lang w:val="es-ES" w:eastAsia="es-ES"/>
              </w:rPr>
              <w:t>22%</w:t>
            </w:r>
          </w:p>
        </w:tc>
        <w:tc>
          <w:tcPr>
            <w:tcW w:w="1208" w:type="dxa"/>
            <w:shd w:val="clear" w:color="auto" w:fill="FF0000"/>
          </w:tcPr>
          <w:p w14:paraId="3E828597" w14:textId="2E4088A0" w:rsidR="00564C7D" w:rsidRPr="003A3D7F" w:rsidRDefault="003A3D7F" w:rsidP="00C0429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s-ES" w:eastAsia="es-ES"/>
              </w:rPr>
            </w:pPr>
            <w:r w:rsidRPr="003A3D7F"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s-ES" w:eastAsia="es-ES"/>
              </w:rPr>
              <w:t>22%</w:t>
            </w:r>
          </w:p>
        </w:tc>
      </w:tr>
      <w:tr w:rsidR="00564C7D" w:rsidRPr="00C04296" w14:paraId="34FA6EDE" w14:textId="77777777" w:rsidTr="003A3D7F">
        <w:trPr>
          <w:trHeight w:val="694"/>
          <w:jc w:val="center"/>
        </w:trPr>
        <w:tc>
          <w:tcPr>
            <w:tcW w:w="3500" w:type="dxa"/>
          </w:tcPr>
          <w:p w14:paraId="16A9313F" w14:textId="77777777" w:rsidR="00564C7D" w:rsidRPr="00667DA7" w:rsidRDefault="00564C7D" w:rsidP="00C04296">
            <w:pPr>
              <w:jc w:val="both"/>
              <w:rPr>
                <w:rFonts w:asciiTheme="minorHAnsi" w:hAnsiTheme="minorHAnsi" w:cstheme="minorHAnsi"/>
                <w:lang w:val="es-ES" w:eastAsia="es-ES"/>
              </w:rPr>
            </w:pPr>
            <w:r w:rsidRPr="00667DA7">
              <w:rPr>
                <w:rFonts w:asciiTheme="minorHAnsi" w:hAnsiTheme="minorHAnsi" w:cstheme="minorHAnsi"/>
                <w:lang w:val="es-ES" w:eastAsia="es-ES"/>
              </w:rPr>
              <w:t>PI-05 Mejorar el índice de eficiencia de las Entidades Autorizadas</w:t>
            </w:r>
          </w:p>
        </w:tc>
        <w:tc>
          <w:tcPr>
            <w:tcW w:w="2810" w:type="dxa"/>
          </w:tcPr>
          <w:p w14:paraId="73D30956" w14:textId="77777777" w:rsidR="00564C7D" w:rsidRPr="00C04296" w:rsidRDefault="00564C7D" w:rsidP="00C04296">
            <w:pPr>
              <w:jc w:val="center"/>
              <w:rPr>
                <w:rFonts w:asciiTheme="minorHAnsi" w:hAnsiTheme="minorHAnsi" w:cstheme="minorHAnsi"/>
                <w:lang w:val="es-ES" w:eastAsia="es-ES"/>
              </w:rPr>
            </w:pPr>
            <w:r w:rsidRPr="00C04296">
              <w:rPr>
                <w:rFonts w:asciiTheme="minorHAnsi" w:hAnsiTheme="minorHAnsi" w:cstheme="minorHAnsi"/>
                <w:lang w:val="es-ES" w:eastAsia="es-ES"/>
              </w:rPr>
              <w:t>Porcentaje de entidades autorizadas con índice de eficiencia superior al 75%</w:t>
            </w:r>
          </w:p>
        </w:tc>
        <w:tc>
          <w:tcPr>
            <w:tcW w:w="1061" w:type="dxa"/>
            <w:shd w:val="clear" w:color="auto" w:fill="auto"/>
          </w:tcPr>
          <w:p w14:paraId="021A2514" w14:textId="71A0ECFE" w:rsidR="00564C7D" w:rsidRPr="00C04296" w:rsidRDefault="008E79BC" w:rsidP="00C04296">
            <w:pPr>
              <w:jc w:val="center"/>
              <w:rPr>
                <w:rFonts w:asciiTheme="minorHAnsi" w:hAnsiTheme="minorHAnsi" w:cstheme="minorHAnsi"/>
                <w:lang w:val="es-ES" w:eastAsia="es-ES"/>
              </w:rPr>
            </w:pPr>
            <w:r>
              <w:rPr>
                <w:rFonts w:asciiTheme="minorHAnsi" w:hAnsiTheme="minorHAnsi" w:cstheme="minorHAnsi"/>
                <w:lang w:val="es-ES" w:eastAsia="es-ES"/>
              </w:rPr>
              <w:t>100%</w:t>
            </w:r>
          </w:p>
        </w:tc>
        <w:tc>
          <w:tcPr>
            <w:tcW w:w="1163" w:type="dxa"/>
            <w:shd w:val="clear" w:color="auto" w:fill="auto"/>
          </w:tcPr>
          <w:p w14:paraId="400D150E" w14:textId="4A871769" w:rsidR="00564C7D" w:rsidRPr="00C04296" w:rsidRDefault="008E79BC" w:rsidP="00C04296">
            <w:pPr>
              <w:jc w:val="center"/>
              <w:rPr>
                <w:rFonts w:asciiTheme="minorHAnsi" w:hAnsiTheme="minorHAnsi" w:cstheme="minorHAnsi"/>
                <w:lang w:val="es-ES" w:eastAsia="es-ES"/>
              </w:rPr>
            </w:pPr>
            <w:r>
              <w:rPr>
                <w:rFonts w:asciiTheme="minorHAnsi" w:hAnsiTheme="minorHAnsi" w:cstheme="minorHAnsi"/>
                <w:lang w:val="es-ES" w:eastAsia="es-ES"/>
              </w:rPr>
              <w:t>6</w:t>
            </w:r>
            <w:r w:rsidR="00B4697C">
              <w:rPr>
                <w:rFonts w:asciiTheme="minorHAnsi" w:hAnsiTheme="minorHAnsi" w:cstheme="minorHAnsi"/>
                <w:lang w:val="es-ES" w:eastAsia="es-ES"/>
              </w:rPr>
              <w:t>7</w:t>
            </w:r>
            <w:r>
              <w:rPr>
                <w:rFonts w:asciiTheme="minorHAnsi" w:hAnsiTheme="minorHAnsi" w:cstheme="minorHAnsi"/>
                <w:lang w:val="es-ES" w:eastAsia="es-ES"/>
              </w:rPr>
              <w:t>%</w:t>
            </w:r>
          </w:p>
        </w:tc>
        <w:tc>
          <w:tcPr>
            <w:tcW w:w="1208" w:type="dxa"/>
            <w:shd w:val="clear" w:color="auto" w:fill="FF0000"/>
          </w:tcPr>
          <w:p w14:paraId="50ED9B0B" w14:textId="1D3FF3E4" w:rsidR="00564C7D" w:rsidRPr="003A3D7F" w:rsidRDefault="008E79BC" w:rsidP="00C0429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s-ES" w:eastAsia="es-ES"/>
              </w:rPr>
            </w:pPr>
            <w:r w:rsidRPr="003A3D7F"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s-ES" w:eastAsia="es-ES"/>
              </w:rPr>
              <w:t>6</w:t>
            </w:r>
            <w:r w:rsidR="00B4697C" w:rsidRPr="003A3D7F"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s-ES" w:eastAsia="es-ES"/>
              </w:rPr>
              <w:t>7</w:t>
            </w:r>
            <w:r w:rsidRPr="003A3D7F"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s-ES" w:eastAsia="es-ES"/>
              </w:rPr>
              <w:t>%</w:t>
            </w:r>
          </w:p>
        </w:tc>
      </w:tr>
      <w:tr w:rsidR="00564C7D" w:rsidRPr="00C04296" w14:paraId="59DBBC7F" w14:textId="77777777" w:rsidTr="003A3D7F">
        <w:trPr>
          <w:trHeight w:val="706"/>
          <w:jc w:val="center"/>
        </w:trPr>
        <w:tc>
          <w:tcPr>
            <w:tcW w:w="3500" w:type="dxa"/>
            <w:hideMark/>
          </w:tcPr>
          <w:p w14:paraId="067C06EE" w14:textId="77777777" w:rsidR="00564C7D" w:rsidRPr="00667DA7" w:rsidRDefault="00564C7D" w:rsidP="00C04296">
            <w:pPr>
              <w:jc w:val="both"/>
              <w:rPr>
                <w:rFonts w:asciiTheme="minorHAnsi" w:hAnsiTheme="minorHAnsi" w:cstheme="minorHAnsi"/>
                <w:szCs w:val="23"/>
                <w:lang w:val="es-ES" w:eastAsia="es-ES"/>
              </w:rPr>
            </w:pPr>
            <w:r w:rsidRPr="00667DA7">
              <w:rPr>
                <w:rFonts w:asciiTheme="minorHAnsi" w:hAnsiTheme="minorHAnsi" w:cstheme="minorHAnsi"/>
                <w:szCs w:val="23"/>
                <w:lang w:val="es-ES" w:eastAsia="es-ES"/>
              </w:rPr>
              <w:lastRenderedPageBreak/>
              <w:t>PI-06 Atender oportunamente las recomendaciones de los órganos de control</w:t>
            </w:r>
          </w:p>
        </w:tc>
        <w:tc>
          <w:tcPr>
            <w:tcW w:w="2810" w:type="dxa"/>
            <w:hideMark/>
          </w:tcPr>
          <w:p w14:paraId="5F22887D" w14:textId="77777777" w:rsidR="00564C7D" w:rsidRPr="00C04296" w:rsidRDefault="00564C7D" w:rsidP="00C04296">
            <w:pPr>
              <w:jc w:val="center"/>
              <w:rPr>
                <w:rFonts w:asciiTheme="minorHAnsi" w:hAnsiTheme="minorHAnsi" w:cstheme="minorHAnsi"/>
                <w:szCs w:val="23"/>
                <w:lang w:val="es-ES" w:eastAsia="es-ES"/>
              </w:rPr>
            </w:pPr>
            <w:r w:rsidRPr="00C04296">
              <w:rPr>
                <w:rFonts w:asciiTheme="minorHAnsi" w:hAnsiTheme="minorHAnsi" w:cstheme="minorHAnsi"/>
                <w:szCs w:val="23"/>
                <w:lang w:val="es-ES" w:eastAsia="es-ES"/>
              </w:rPr>
              <w:t>Porcentaje de recomendaciones atendidas</w:t>
            </w:r>
          </w:p>
        </w:tc>
        <w:tc>
          <w:tcPr>
            <w:tcW w:w="1061" w:type="dxa"/>
            <w:shd w:val="clear" w:color="auto" w:fill="auto"/>
          </w:tcPr>
          <w:p w14:paraId="4ADB0DCF" w14:textId="05B32A3F" w:rsidR="00564C7D" w:rsidRPr="00C04296" w:rsidRDefault="00923B47" w:rsidP="00C04296">
            <w:pPr>
              <w:jc w:val="center"/>
              <w:rPr>
                <w:rFonts w:asciiTheme="minorHAnsi" w:hAnsiTheme="minorHAnsi" w:cstheme="minorHAnsi"/>
                <w:szCs w:val="23"/>
                <w:lang w:val="es-ES" w:eastAsia="es-ES"/>
              </w:rPr>
            </w:pPr>
            <w:r>
              <w:rPr>
                <w:rFonts w:asciiTheme="minorHAnsi" w:hAnsiTheme="minorHAnsi" w:cstheme="minorHAnsi"/>
                <w:szCs w:val="23"/>
                <w:lang w:val="es-ES" w:eastAsia="es-ES"/>
              </w:rPr>
              <w:t>85%</w:t>
            </w:r>
          </w:p>
        </w:tc>
        <w:tc>
          <w:tcPr>
            <w:tcW w:w="1163" w:type="dxa"/>
            <w:shd w:val="clear" w:color="auto" w:fill="auto"/>
          </w:tcPr>
          <w:p w14:paraId="50AD9557" w14:textId="3D9FAEFE" w:rsidR="00564C7D" w:rsidRPr="00C04296" w:rsidRDefault="00923B47" w:rsidP="00C04296">
            <w:pPr>
              <w:jc w:val="center"/>
              <w:rPr>
                <w:rFonts w:asciiTheme="minorHAnsi" w:hAnsiTheme="minorHAnsi" w:cstheme="minorHAnsi"/>
                <w:szCs w:val="23"/>
                <w:lang w:val="es-ES" w:eastAsia="es-ES"/>
              </w:rPr>
            </w:pPr>
            <w:r>
              <w:rPr>
                <w:rFonts w:asciiTheme="minorHAnsi" w:hAnsiTheme="minorHAnsi" w:cstheme="minorHAnsi"/>
                <w:szCs w:val="23"/>
                <w:lang w:val="es-ES" w:eastAsia="es-ES"/>
              </w:rPr>
              <w:t>2</w:t>
            </w:r>
            <w:r w:rsidR="003A3D7F">
              <w:rPr>
                <w:rFonts w:asciiTheme="minorHAnsi" w:hAnsiTheme="minorHAnsi" w:cstheme="minorHAnsi"/>
                <w:szCs w:val="23"/>
                <w:lang w:val="es-ES" w:eastAsia="es-ES"/>
              </w:rPr>
              <w:t>8</w:t>
            </w:r>
            <w:r>
              <w:rPr>
                <w:rFonts w:asciiTheme="minorHAnsi" w:hAnsiTheme="minorHAnsi" w:cstheme="minorHAnsi"/>
                <w:szCs w:val="23"/>
                <w:lang w:val="es-ES" w:eastAsia="es-ES"/>
              </w:rPr>
              <w:t>%</w:t>
            </w:r>
          </w:p>
        </w:tc>
        <w:tc>
          <w:tcPr>
            <w:tcW w:w="1208" w:type="dxa"/>
            <w:shd w:val="clear" w:color="auto" w:fill="FF0000"/>
          </w:tcPr>
          <w:p w14:paraId="2E470DF6" w14:textId="26E01D03" w:rsidR="00564C7D" w:rsidRPr="003A3D7F" w:rsidRDefault="00923B47" w:rsidP="00C0429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3"/>
                <w:lang w:val="es-ES" w:eastAsia="es-ES"/>
              </w:rPr>
            </w:pPr>
            <w:r w:rsidRPr="003A3D7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3"/>
                <w:lang w:val="es-ES" w:eastAsia="es-ES"/>
              </w:rPr>
              <w:t>3</w:t>
            </w:r>
            <w:r w:rsidR="003A3D7F" w:rsidRPr="003A3D7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3"/>
                <w:lang w:val="es-ES" w:eastAsia="es-ES"/>
              </w:rPr>
              <w:t>3</w:t>
            </w:r>
            <w:r w:rsidRPr="003A3D7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3"/>
                <w:lang w:val="es-ES" w:eastAsia="es-ES"/>
              </w:rPr>
              <w:t>%</w:t>
            </w:r>
          </w:p>
        </w:tc>
      </w:tr>
      <w:tr w:rsidR="00564C7D" w:rsidRPr="00C04296" w14:paraId="23DFA0B8" w14:textId="77777777" w:rsidTr="00CC79B3">
        <w:trPr>
          <w:trHeight w:val="804"/>
          <w:jc w:val="center"/>
        </w:trPr>
        <w:tc>
          <w:tcPr>
            <w:tcW w:w="3500" w:type="dxa"/>
          </w:tcPr>
          <w:p w14:paraId="5DDB2B94" w14:textId="77777777" w:rsidR="00564C7D" w:rsidRPr="00667DA7" w:rsidRDefault="00564C7D" w:rsidP="00C04296">
            <w:pPr>
              <w:jc w:val="both"/>
              <w:rPr>
                <w:rFonts w:asciiTheme="minorHAnsi" w:hAnsiTheme="minorHAnsi" w:cstheme="minorHAnsi"/>
                <w:szCs w:val="23"/>
                <w:lang w:val="es-ES" w:eastAsia="es-ES"/>
              </w:rPr>
            </w:pPr>
            <w:r w:rsidRPr="00667DA7">
              <w:rPr>
                <w:rFonts w:asciiTheme="minorHAnsi" w:hAnsiTheme="minorHAnsi" w:cstheme="minorHAnsi"/>
                <w:szCs w:val="23"/>
                <w:lang w:val="es-ES" w:eastAsia="es-ES"/>
              </w:rPr>
              <w:t>PI-07 Lograr un mayor aprovechamiento de bienes propiedad BANHVI</w:t>
            </w:r>
          </w:p>
        </w:tc>
        <w:tc>
          <w:tcPr>
            <w:tcW w:w="2810" w:type="dxa"/>
          </w:tcPr>
          <w:p w14:paraId="3C23A5A2" w14:textId="77777777" w:rsidR="00564C7D" w:rsidRPr="00C04296" w:rsidRDefault="00564C7D" w:rsidP="00C04296">
            <w:pPr>
              <w:jc w:val="center"/>
              <w:rPr>
                <w:rFonts w:asciiTheme="minorHAnsi" w:hAnsiTheme="minorHAnsi" w:cstheme="minorHAnsi"/>
                <w:szCs w:val="23"/>
                <w:lang w:val="es-ES" w:eastAsia="es-ES"/>
              </w:rPr>
            </w:pPr>
            <w:r w:rsidRPr="00C04296">
              <w:rPr>
                <w:rFonts w:asciiTheme="minorHAnsi" w:hAnsiTheme="minorHAnsi" w:cstheme="minorHAnsi"/>
                <w:szCs w:val="23"/>
                <w:lang w:val="es-ES" w:eastAsia="es-ES"/>
              </w:rPr>
              <w:t>Porcentaje de bienes aprovechables desarrollados y realizados</w:t>
            </w:r>
          </w:p>
        </w:tc>
        <w:tc>
          <w:tcPr>
            <w:tcW w:w="1061" w:type="dxa"/>
            <w:shd w:val="clear" w:color="auto" w:fill="auto"/>
          </w:tcPr>
          <w:p w14:paraId="3E95FBA9" w14:textId="0F7E2728" w:rsidR="00564C7D" w:rsidRPr="00C04296" w:rsidRDefault="004170ED" w:rsidP="00C04296">
            <w:pPr>
              <w:jc w:val="center"/>
              <w:rPr>
                <w:rFonts w:asciiTheme="minorHAnsi" w:hAnsiTheme="minorHAnsi" w:cstheme="minorHAnsi"/>
                <w:szCs w:val="23"/>
                <w:lang w:val="es-ES" w:eastAsia="es-ES"/>
              </w:rPr>
            </w:pPr>
            <w:r>
              <w:rPr>
                <w:rFonts w:asciiTheme="minorHAnsi" w:hAnsiTheme="minorHAnsi" w:cstheme="minorHAnsi"/>
                <w:szCs w:val="23"/>
                <w:lang w:val="es-ES" w:eastAsia="es-ES"/>
              </w:rPr>
              <w:t>100%</w:t>
            </w:r>
          </w:p>
        </w:tc>
        <w:tc>
          <w:tcPr>
            <w:tcW w:w="1163" w:type="dxa"/>
            <w:shd w:val="clear" w:color="auto" w:fill="auto"/>
          </w:tcPr>
          <w:p w14:paraId="1AE46AFF" w14:textId="129D34F0" w:rsidR="00564C7D" w:rsidRPr="00C04296" w:rsidRDefault="004170ED" w:rsidP="00C04296">
            <w:pPr>
              <w:jc w:val="center"/>
              <w:rPr>
                <w:rFonts w:asciiTheme="minorHAnsi" w:hAnsiTheme="minorHAnsi" w:cstheme="minorHAnsi"/>
                <w:szCs w:val="23"/>
                <w:lang w:val="es-ES" w:eastAsia="es-ES"/>
              </w:rPr>
            </w:pPr>
            <w:r>
              <w:rPr>
                <w:rFonts w:asciiTheme="minorHAnsi" w:hAnsiTheme="minorHAnsi" w:cstheme="minorHAnsi"/>
                <w:szCs w:val="23"/>
                <w:lang w:val="es-ES" w:eastAsia="es-ES"/>
              </w:rPr>
              <w:t>100%</w:t>
            </w:r>
          </w:p>
        </w:tc>
        <w:tc>
          <w:tcPr>
            <w:tcW w:w="1208" w:type="dxa"/>
            <w:shd w:val="clear" w:color="auto" w:fill="auto"/>
          </w:tcPr>
          <w:p w14:paraId="47E981FE" w14:textId="4452417E" w:rsidR="00564C7D" w:rsidRPr="00A7645B" w:rsidRDefault="004170ED" w:rsidP="00C0429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3"/>
                <w:lang w:val="es-ES" w:eastAsia="es-E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3"/>
                <w:lang w:val="es-ES" w:eastAsia="es-ES"/>
              </w:rPr>
              <w:t>100%</w:t>
            </w:r>
          </w:p>
        </w:tc>
      </w:tr>
      <w:tr w:rsidR="00564C7D" w:rsidRPr="00C04296" w14:paraId="79FD91A7" w14:textId="77777777" w:rsidTr="003A3D7F">
        <w:trPr>
          <w:trHeight w:val="658"/>
          <w:jc w:val="center"/>
        </w:trPr>
        <w:tc>
          <w:tcPr>
            <w:tcW w:w="3500" w:type="dxa"/>
          </w:tcPr>
          <w:p w14:paraId="55257B60" w14:textId="77777777" w:rsidR="00564C7D" w:rsidRPr="00667DA7" w:rsidRDefault="00564C7D" w:rsidP="00C04296">
            <w:pPr>
              <w:jc w:val="both"/>
              <w:rPr>
                <w:rFonts w:asciiTheme="minorHAnsi" w:hAnsiTheme="minorHAnsi" w:cstheme="minorHAnsi"/>
                <w:szCs w:val="23"/>
                <w:lang w:val="es-ES" w:eastAsia="es-ES"/>
              </w:rPr>
            </w:pPr>
            <w:r w:rsidRPr="00667DA7">
              <w:rPr>
                <w:rFonts w:asciiTheme="minorHAnsi" w:hAnsiTheme="minorHAnsi" w:cstheme="minorHAnsi"/>
                <w:szCs w:val="23"/>
                <w:lang w:val="es-ES" w:eastAsia="es-ES"/>
              </w:rPr>
              <w:t xml:space="preserve">PI-08 Mejorar un mayor aprovechamiento de bienes en fideicomisos </w:t>
            </w:r>
          </w:p>
        </w:tc>
        <w:tc>
          <w:tcPr>
            <w:tcW w:w="2810" w:type="dxa"/>
          </w:tcPr>
          <w:p w14:paraId="19FAE51F" w14:textId="77777777" w:rsidR="00564C7D" w:rsidRPr="00C04296" w:rsidRDefault="00564C7D" w:rsidP="00C04296">
            <w:pPr>
              <w:jc w:val="center"/>
              <w:rPr>
                <w:rFonts w:asciiTheme="minorHAnsi" w:hAnsiTheme="minorHAnsi" w:cstheme="minorHAnsi"/>
                <w:szCs w:val="23"/>
                <w:lang w:val="es-ES" w:eastAsia="es-ES"/>
              </w:rPr>
            </w:pPr>
            <w:r w:rsidRPr="00C04296">
              <w:rPr>
                <w:rFonts w:asciiTheme="minorHAnsi" w:hAnsiTheme="minorHAnsi" w:cstheme="minorHAnsi"/>
                <w:szCs w:val="23"/>
                <w:lang w:val="es-ES" w:eastAsia="es-ES"/>
              </w:rPr>
              <w:t>Porcentaje de bienes en fideicomisos desarrollados</w:t>
            </w:r>
          </w:p>
        </w:tc>
        <w:tc>
          <w:tcPr>
            <w:tcW w:w="1061" w:type="dxa"/>
            <w:shd w:val="clear" w:color="auto" w:fill="auto"/>
          </w:tcPr>
          <w:p w14:paraId="4934A888" w14:textId="289D657F" w:rsidR="00564C7D" w:rsidRPr="00C04296" w:rsidRDefault="00CC79B3" w:rsidP="00C04296">
            <w:pPr>
              <w:jc w:val="center"/>
              <w:rPr>
                <w:rFonts w:asciiTheme="minorHAnsi" w:hAnsiTheme="minorHAnsi" w:cstheme="minorHAnsi"/>
                <w:szCs w:val="23"/>
                <w:lang w:val="es-ES" w:eastAsia="es-ES"/>
              </w:rPr>
            </w:pPr>
            <w:r>
              <w:rPr>
                <w:rFonts w:asciiTheme="minorHAnsi" w:hAnsiTheme="minorHAnsi" w:cstheme="minorHAnsi"/>
                <w:szCs w:val="23"/>
                <w:lang w:val="es-ES" w:eastAsia="es-ES"/>
              </w:rPr>
              <w:t>100%</w:t>
            </w:r>
          </w:p>
        </w:tc>
        <w:tc>
          <w:tcPr>
            <w:tcW w:w="1163" w:type="dxa"/>
            <w:shd w:val="clear" w:color="auto" w:fill="auto"/>
          </w:tcPr>
          <w:p w14:paraId="0432542F" w14:textId="394B8F9B" w:rsidR="00564C7D" w:rsidRPr="00C04296" w:rsidRDefault="00CC79B3" w:rsidP="00C04296">
            <w:pPr>
              <w:jc w:val="center"/>
              <w:rPr>
                <w:rFonts w:asciiTheme="minorHAnsi" w:hAnsiTheme="minorHAnsi" w:cstheme="minorHAnsi"/>
                <w:szCs w:val="23"/>
                <w:lang w:val="es-ES" w:eastAsia="es-ES"/>
              </w:rPr>
            </w:pPr>
            <w:r>
              <w:rPr>
                <w:rFonts w:asciiTheme="minorHAnsi" w:hAnsiTheme="minorHAnsi" w:cstheme="minorHAnsi"/>
                <w:szCs w:val="23"/>
                <w:lang w:val="es-ES" w:eastAsia="es-ES"/>
              </w:rPr>
              <w:t>0</w:t>
            </w:r>
          </w:p>
        </w:tc>
        <w:tc>
          <w:tcPr>
            <w:tcW w:w="1208" w:type="dxa"/>
            <w:shd w:val="clear" w:color="auto" w:fill="FF0000"/>
          </w:tcPr>
          <w:p w14:paraId="19D43C55" w14:textId="71240731" w:rsidR="00564C7D" w:rsidRPr="003A3D7F" w:rsidRDefault="00CC79B3" w:rsidP="00C0429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3"/>
                <w:lang w:val="es-ES" w:eastAsia="es-ES"/>
              </w:rPr>
            </w:pPr>
            <w:r w:rsidRPr="003A3D7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3"/>
                <w:lang w:val="es-ES" w:eastAsia="es-ES"/>
              </w:rPr>
              <w:t>0%</w:t>
            </w:r>
          </w:p>
        </w:tc>
      </w:tr>
      <w:tr w:rsidR="00CC79B3" w:rsidRPr="00C04296" w14:paraId="1B620348" w14:textId="77777777" w:rsidTr="00CC79B3">
        <w:trPr>
          <w:trHeight w:val="503"/>
          <w:jc w:val="center"/>
        </w:trPr>
        <w:tc>
          <w:tcPr>
            <w:tcW w:w="3500" w:type="dxa"/>
          </w:tcPr>
          <w:p w14:paraId="0FC9AFAD" w14:textId="77777777" w:rsidR="00CC79B3" w:rsidRPr="00667DA7" w:rsidRDefault="00CC79B3" w:rsidP="00C04296">
            <w:pPr>
              <w:jc w:val="both"/>
              <w:rPr>
                <w:rFonts w:asciiTheme="minorHAnsi" w:hAnsiTheme="minorHAnsi" w:cstheme="minorHAnsi"/>
                <w:szCs w:val="23"/>
                <w:lang w:val="es-ES" w:eastAsia="es-ES"/>
              </w:rPr>
            </w:pPr>
            <w:r w:rsidRPr="00667DA7">
              <w:rPr>
                <w:rFonts w:asciiTheme="minorHAnsi" w:hAnsiTheme="minorHAnsi" w:cstheme="minorHAnsi"/>
                <w:szCs w:val="23"/>
                <w:lang w:val="es-ES" w:eastAsia="es-ES"/>
              </w:rPr>
              <w:t>PI-09 Mejorar el ordenamiento administrativo</w:t>
            </w:r>
          </w:p>
        </w:tc>
        <w:tc>
          <w:tcPr>
            <w:tcW w:w="2810" w:type="dxa"/>
          </w:tcPr>
          <w:p w14:paraId="47654B00" w14:textId="77777777" w:rsidR="00CC79B3" w:rsidRPr="00C04296" w:rsidRDefault="00CC79B3" w:rsidP="00C04296">
            <w:pPr>
              <w:jc w:val="center"/>
              <w:rPr>
                <w:rFonts w:asciiTheme="minorHAnsi" w:hAnsiTheme="minorHAnsi" w:cstheme="minorHAnsi"/>
                <w:szCs w:val="23"/>
                <w:lang w:val="es-ES" w:eastAsia="es-ES"/>
              </w:rPr>
            </w:pPr>
            <w:r w:rsidRPr="00C04296">
              <w:rPr>
                <w:rFonts w:asciiTheme="minorHAnsi" w:hAnsiTheme="minorHAnsi" w:cstheme="minorHAnsi"/>
                <w:szCs w:val="23"/>
                <w:lang w:val="es-ES" w:eastAsia="es-ES"/>
              </w:rPr>
              <w:t>Porcentaje de procesos ordenados</w:t>
            </w:r>
          </w:p>
        </w:tc>
        <w:tc>
          <w:tcPr>
            <w:tcW w:w="1061" w:type="dxa"/>
            <w:shd w:val="clear" w:color="auto" w:fill="auto"/>
          </w:tcPr>
          <w:p w14:paraId="13FB1FF6" w14:textId="36301378" w:rsidR="00CC79B3" w:rsidRPr="00C04296" w:rsidRDefault="00CC79B3" w:rsidP="00C04296">
            <w:pPr>
              <w:jc w:val="center"/>
              <w:rPr>
                <w:rFonts w:asciiTheme="minorHAnsi" w:hAnsiTheme="minorHAnsi" w:cstheme="minorHAnsi"/>
                <w:szCs w:val="23"/>
                <w:lang w:val="es-ES" w:eastAsia="es-ES"/>
              </w:rPr>
            </w:pPr>
            <w:r>
              <w:rPr>
                <w:rFonts w:asciiTheme="minorHAnsi" w:hAnsiTheme="minorHAnsi" w:cstheme="minorHAnsi"/>
                <w:szCs w:val="23"/>
                <w:lang w:val="es-ES" w:eastAsia="es-ES"/>
              </w:rPr>
              <w:t>100%</w:t>
            </w:r>
          </w:p>
        </w:tc>
        <w:tc>
          <w:tcPr>
            <w:tcW w:w="2371" w:type="dxa"/>
            <w:gridSpan w:val="2"/>
            <w:shd w:val="clear" w:color="auto" w:fill="auto"/>
          </w:tcPr>
          <w:p w14:paraId="0EDC144C" w14:textId="2A63A744" w:rsidR="00CC79B3" w:rsidRPr="00D27F06" w:rsidRDefault="00D27F06" w:rsidP="00C0429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s-ES" w:eastAsia="es-ES"/>
              </w:rPr>
            </w:pPr>
            <w:r w:rsidRPr="00D27F06">
              <w:rPr>
                <w:rFonts w:asciiTheme="minorHAnsi" w:hAnsiTheme="minorHAnsi" w:cs="TimesNewRoman"/>
              </w:rPr>
              <w:t>Se suspendió de conformidad con el acuerdo No. 1 de la sesión 74-2020.</w:t>
            </w:r>
          </w:p>
        </w:tc>
      </w:tr>
      <w:tr w:rsidR="00564C7D" w:rsidRPr="00C04296" w14:paraId="39C6DC91" w14:textId="77777777" w:rsidTr="003A3D7F">
        <w:trPr>
          <w:trHeight w:val="1200"/>
          <w:jc w:val="center"/>
        </w:trPr>
        <w:tc>
          <w:tcPr>
            <w:tcW w:w="3500" w:type="dxa"/>
            <w:hideMark/>
          </w:tcPr>
          <w:p w14:paraId="1A24AC29" w14:textId="3E439538" w:rsidR="00564C7D" w:rsidRPr="00667DA7" w:rsidRDefault="00564C7D" w:rsidP="00C04296">
            <w:pPr>
              <w:jc w:val="both"/>
              <w:rPr>
                <w:rFonts w:asciiTheme="minorHAnsi" w:hAnsiTheme="minorHAnsi" w:cstheme="minorHAnsi"/>
                <w:szCs w:val="23"/>
                <w:lang w:val="es-ES" w:eastAsia="es-ES"/>
              </w:rPr>
            </w:pPr>
            <w:r w:rsidRPr="00667DA7">
              <w:rPr>
                <w:rFonts w:asciiTheme="minorHAnsi" w:hAnsiTheme="minorHAnsi" w:cstheme="minorHAnsi"/>
                <w:szCs w:val="23"/>
                <w:lang w:val="es-ES" w:eastAsia="es-ES"/>
              </w:rPr>
              <w:t>PI-10 Simplificar los trámites en el BANHVI y Entidades Autorizadas en lo relacionado al proceso de aprobación de bonos familiares de vivienda y bonos comunales</w:t>
            </w:r>
          </w:p>
        </w:tc>
        <w:tc>
          <w:tcPr>
            <w:tcW w:w="2810" w:type="dxa"/>
            <w:hideMark/>
          </w:tcPr>
          <w:p w14:paraId="0BED73EB" w14:textId="77777777" w:rsidR="00564C7D" w:rsidRPr="00C04296" w:rsidRDefault="00564C7D" w:rsidP="00C04296">
            <w:pPr>
              <w:jc w:val="center"/>
              <w:rPr>
                <w:rFonts w:asciiTheme="minorHAnsi" w:hAnsiTheme="minorHAnsi" w:cstheme="minorHAnsi"/>
                <w:szCs w:val="23"/>
                <w:lang w:val="es-ES" w:eastAsia="es-ES"/>
              </w:rPr>
            </w:pPr>
            <w:r w:rsidRPr="00C04296">
              <w:rPr>
                <w:rFonts w:asciiTheme="minorHAnsi" w:hAnsiTheme="minorHAnsi" w:cstheme="minorHAnsi"/>
                <w:szCs w:val="23"/>
                <w:lang w:val="es-ES" w:eastAsia="es-ES"/>
              </w:rPr>
              <w:t>Porcentaje de trámites simplificados</w:t>
            </w:r>
          </w:p>
        </w:tc>
        <w:tc>
          <w:tcPr>
            <w:tcW w:w="1061" w:type="dxa"/>
            <w:shd w:val="clear" w:color="auto" w:fill="auto"/>
          </w:tcPr>
          <w:p w14:paraId="2F84BBBD" w14:textId="2F7E02F8" w:rsidR="00564C7D" w:rsidRPr="00C04296" w:rsidRDefault="00A90AB0" w:rsidP="00C04296">
            <w:pPr>
              <w:jc w:val="center"/>
              <w:rPr>
                <w:rFonts w:asciiTheme="minorHAnsi" w:hAnsiTheme="minorHAnsi" w:cstheme="minorHAnsi"/>
                <w:szCs w:val="23"/>
                <w:lang w:val="es-ES" w:eastAsia="es-ES"/>
              </w:rPr>
            </w:pPr>
            <w:r>
              <w:rPr>
                <w:rFonts w:asciiTheme="minorHAnsi" w:hAnsiTheme="minorHAnsi" w:cstheme="minorHAnsi"/>
                <w:szCs w:val="23"/>
                <w:lang w:val="es-ES" w:eastAsia="es-ES"/>
              </w:rPr>
              <w:t>100%</w:t>
            </w:r>
          </w:p>
        </w:tc>
        <w:tc>
          <w:tcPr>
            <w:tcW w:w="1163" w:type="dxa"/>
            <w:shd w:val="clear" w:color="auto" w:fill="auto"/>
          </w:tcPr>
          <w:p w14:paraId="12231270" w14:textId="38318BC1" w:rsidR="00564C7D" w:rsidRPr="00C04296" w:rsidRDefault="00A90AB0" w:rsidP="00C04296">
            <w:pPr>
              <w:jc w:val="center"/>
              <w:rPr>
                <w:rFonts w:asciiTheme="minorHAnsi" w:hAnsiTheme="minorHAnsi" w:cstheme="minorHAnsi"/>
                <w:szCs w:val="23"/>
                <w:lang w:val="es-ES" w:eastAsia="es-ES"/>
              </w:rPr>
            </w:pPr>
            <w:r>
              <w:rPr>
                <w:rFonts w:asciiTheme="minorHAnsi" w:hAnsiTheme="minorHAnsi" w:cstheme="minorHAnsi"/>
                <w:szCs w:val="23"/>
                <w:lang w:val="es-ES" w:eastAsia="es-ES"/>
              </w:rPr>
              <w:t>0%</w:t>
            </w:r>
          </w:p>
        </w:tc>
        <w:tc>
          <w:tcPr>
            <w:tcW w:w="1208" w:type="dxa"/>
            <w:shd w:val="clear" w:color="auto" w:fill="FF0000"/>
          </w:tcPr>
          <w:p w14:paraId="6686FED1" w14:textId="154C08DE" w:rsidR="00564C7D" w:rsidRPr="003A3D7F" w:rsidRDefault="00A90AB0" w:rsidP="00C0429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3"/>
                <w:lang w:val="es-ES" w:eastAsia="es-ES"/>
              </w:rPr>
            </w:pPr>
            <w:r w:rsidRPr="003A3D7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3"/>
                <w:lang w:val="es-ES" w:eastAsia="es-ES"/>
              </w:rPr>
              <w:t>0%</w:t>
            </w:r>
          </w:p>
        </w:tc>
      </w:tr>
    </w:tbl>
    <w:p w14:paraId="1D08768D" w14:textId="77777777" w:rsidR="00C04296" w:rsidRPr="00C04296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23"/>
          <w:szCs w:val="23"/>
          <w:lang w:val="es-MX" w:eastAsia="es-ES"/>
        </w:rPr>
      </w:pPr>
    </w:p>
    <w:p w14:paraId="68B8CAD3" w14:textId="4D86428C" w:rsidR="00C04296" w:rsidRPr="00C04296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val="es-MX" w:eastAsia="es-ES"/>
        </w:rPr>
      </w:pPr>
      <w:r w:rsidRPr="00C04296">
        <w:rPr>
          <w:rFonts w:asciiTheme="minorHAnsi" w:eastAsia="Times New Roman" w:hAnsiTheme="minorHAnsi" w:cstheme="minorHAnsi"/>
          <w:sz w:val="22"/>
          <w:lang w:val="es-MX" w:eastAsia="es-ES"/>
        </w:rPr>
        <w:t xml:space="preserve">En el cuadro anterior se puede observar que </w:t>
      </w:r>
      <w:r w:rsidR="00803AA9">
        <w:rPr>
          <w:rFonts w:asciiTheme="minorHAnsi" w:eastAsia="Times New Roman" w:hAnsiTheme="minorHAnsi" w:cstheme="minorHAnsi"/>
          <w:sz w:val="22"/>
          <w:lang w:val="es-MX" w:eastAsia="es-ES"/>
        </w:rPr>
        <w:t>7</w:t>
      </w:r>
      <w:r w:rsidRPr="00C04296">
        <w:rPr>
          <w:rFonts w:asciiTheme="minorHAnsi" w:eastAsia="Times New Roman" w:hAnsiTheme="minorHAnsi" w:cstheme="minorHAnsi"/>
          <w:sz w:val="22"/>
          <w:lang w:val="es-MX" w:eastAsia="es-ES"/>
        </w:rPr>
        <w:t xml:space="preserve"> objetivos se encuentran en el rango de calificación en necesidad de mejora. Un resumen de su </w:t>
      </w:r>
      <w:r w:rsidR="007C5A9E" w:rsidRPr="00C04296">
        <w:rPr>
          <w:rFonts w:asciiTheme="minorHAnsi" w:eastAsia="Times New Roman" w:hAnsiTheme="minorHAnsi" w:cstheme="minorHAnsi"/>
          <w:sz w:val="22"/>
          <w:lang w:val="es-MX" w:eastAsia="es-ES"/>
        </w:rPr>
        <w:t>estado</w:t>
      </w:r>
      <w:r w:rsidRPr="00C04296">
        <w:rPr>
          <w:rFonts w:asciiTheme="minorHAnsi" w:eastAsia="Times New Roman" w:hAnsiTheme="minorHAnsi" w:cstheme="minorHAnsi"/>
          <w:sz w:val="22"/>
          <w:lang w:val="es-MX" w:eastAsia="es-ES"/>
        </w:rPr>
        <w:t xml:space="preserve"> se detalla a continuación: </w:t>
      </w:r>
    </w:p>
    <w:p w14:paraId="1449E50F" w14:textId="77777777" w:rsidR="00C04296" w:rsidRPr="00C04296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val="es-MX" w:eastAsia="es-ES"/>
        </w:rPr>
      </w:pPr>
    </w:p>
    <w:p w14:paraId="71E53335" w14:textId="30CB593F" w:rsidR="00C04296" w:rsidRPr="00C04296" w:rsidRDefault="00C04296" w:rsidP="00B6674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</w:pPr>
      <w:r w:rsidRPr="00C04296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PI-01 “Tramitar con agilidad los subsidios art. 59” obtuvo una calificación del </w:t>
      </w:r>
      <w:r w:rsidR="00210660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50</w:t>
      </w:r>
      <w:r w:rsidRPr="00C04296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%, durante el periodo 20</w:t>
      </w:r>
      <w:r w:rsidR="00210660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20</w:t>
      </w:r>
      <w:r w:rsidR="00756C1C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, s</w:t>
      </w:r>
      <w:proofErr w:type="spellStart"/>
      <w:r w:rsidR="001A4AED">
        <w:rPr>
          <w:rFonts w:asciiTheme="minorHAnsi" w:hAnsiTheme="minorHAnsi" w:cs="TimesNewRoman"/>
          <w:sz w:val="22"/>
          <w:lang w:eastAsia="es-CR"/>
        </w:rPr>
        <w:t>e</w:t>
      </w:r>
      <w:proofErr w:type="spellEnd"/>
      <w:r w:rsidR="001A4AED">
        <w:rPr>
          <w:rFonts w:asciiTheme="minorHAnsi" w:hAnsiTheme="minorHAnsi" w:cs="TimesNewRoman"/>
          <w:sz w:val="22"/>
          <w:lang w:eastAsia="es-CR"/>
        </w:rPr>
        <w:t xml:space="preserve"> aprobaron 460 casos ingresados en el 2020, de los cuales 192 se aprobaron en el tiempo establecido de 49 días hábiles</w:t>
      </w:r>
      <w:r w:rsidR="00200059">
        <w:rPr>
          <w:rFonts w:asciiTheme="minorHAnsi" w:hAnsiTheme="minorHAnsi" w:cs="TimesNewRoman"/>
          <w:sz w:val="22"/>
          <w:lang w:eastAsia="es-CR"/>
        </w:rPr>
        <w:t xml:space="preserve"> por Junta Directiva. </w:t>
      </w:r>
      <w:r w:rsidRPr="00C04296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 </w:t>
      </w:r>
    </w:p>
    <w:p w14:paraId="00EA7264" w14:textId="77777777" w:rsidR="00C04296" w:rsidRPr="00C04296" w:rsidRDefault="00C04296" w:rsidP="00C04296">
      <w:pPr>
        <w:spacing w:after="0" w:line="240" w:lineRule="auto"/>
        <w:ind w:left="720"/>
        <w:contextualSpacing/>
        <w:jc w:val="both"/>
        <w:rPr>
          <w:rFonts w:asciiTheme="minorHAnsi" w:eastAsia="Times New Roman" w:hAnsiTheme="minorHAnsi" w:cstheme="minorHAnsi"/>
          <w:sz w:val="22"/>
          <w:lang w:val="es-MX" w:eastAsia="es-ES"/>
        </w:rPr>
      </w:pPr>
    </w:p>
    <w:p w14:paraId="061DE605" w14:textId="06908C68" w:rsidR="00756C1C" w:rsidRDefault="00756C1C" w:rsidP="00756C1C">
      <w:pPr>
        <w:autoSpaceDE w:val="0"/>
        <w:autoSpaceDN w:val="0"/>
        <w:adjustRightInd w:val="0"/>
        <w:ind w:left="426"/>
        <w:jc w:val="both"/>
        <w:rPr>
          <w:rFonts w:asciiTheme="minorHAnsi" w:hAnsiTheme="minorHAnsi" w:cs="TimesNewRoman"/>
          <w:sz w:val="22"/>
          <w:lang w:eastAsia="es-CR"/>
        </w:rPr>
      </w:pPr>
      <w:r>
        <w:rPr>
          <w:rFonts w:asciiTheme="minorHAnsi" w:hAnsiTheme="minorHAnsi" w:cs="TimesNewRoman"/>
          <w:sz w:val="22"/>
          <w:lang w:eastAsia="es-CR"/>
        </w:rPr>
        <w:t>Estas desviaciones se debieron a ajustes al presupuesto por el tema del IVA con los materiales por las empresas constructoras</w:t>
      </w:r>
      <w:r w:rsidR="00C51AA6">
        <w:rPr>
          <w:rFonts w:asciiTheme="minorHAnsi" w:hAnsiTheme="minorHAnsi" w:cs="TimesNewRoman"/>
          <w:sz w:val="22"/>
          <w:lang w:eastAsia="es-CR"/>
        </w:rPr>
        <w:t xml:space="preserve">, </w:t>
      </w:r>
      <w:r>
        <w:rPr>
          <w:rFonts w:asciiTheme="minorHAnsi" w:hAnsiTheme="minorHAnsi" w:cs="TimesNewRoman"/>
          <w:sz w:val="22"/>
          <w:lang w:eastAsia="es-CR"/>
        </w:rPr>
        <w:t>Incertidumbres provocadas en el tema presupuestarios del Banco por la pandemia</w:t>
      </w:r>
      <w:r w:rsidR="00C51AA6">
        <w:rPr>
          <w:rFonts w:asciiTheme="minorHAnsi" w:hAnsiTheme="minorHAnsi" w:cs="TimesNewRoman"/>
          <w:sz w:val="22"/>
          <w:lang w:eastAsia="es-CR"/>
        </w:rPr>
        <w:t xml:space="preserve"> y m</w:t>
      </w:r>
      <w:r>
        <w:rPr>
          <w:rFonts w:asciiTheme="minorHAnsi" w:hAnsiTheme="minorHAnsi" w:cs="TimesNewRoman"/>
          <w:sz w:val="22"/>
          <w:lang w:eastAsia="es-CR"/>
        </w:rPr>
        <w:t xml:space="preserve">ayor demanda de casos, con poca distribución de personal. </w:t>
      </w:r>
    </w:p>
    <w:p w14:paraId="1DC45481" w14:textId="4862E5A3" w:rsidR="00C04296" w:rsidRPr="00C04296" w:rsidRDefault="00C04296" w:rsidP="00B6674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szCs w:val="24"/>
          <w:lang w:val="es-ES" w:eastAsia="es-ES"/>
        </w:rPr>
      </w:pPr>
      <w:r w:rsidRPr="00C04296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PI-04 “</w:t>
      </w:r>
      <w:r w:rsidRPr="00C04296">
        <w:rPr>
          <w:rFonts w:asciiTheme="minorHAnsi" w:eastAsia="Times New Roman" w:hAnsiTheme="minorHAnsi" w:cstheme="minorHAnsi"/>
          <w:i/>
          <w:sz w:val="22"/>
          <w:szCs w:val="23"/>
          <w:lang w:val="es-MX" w:eastAsia="es-ES"/>
        </w:rPr>
        <w:t>Ejecutar eficazmente los fondos destinados a Bonos comunales</w:t>
      </w:r>
      <w:r w:rsidRPr="00C04296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” obtuvo una calificación del </w:t>
      </w:r>
      <w:r w:rsidR="005C5E40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2</w:t>
      </w:r>
      <w:r w:rsidR="008901FE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2</w:t>
      </w:r>
      <w:r w:rsidRPr="00C04296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%, </w:t>
      </w:r>
      <w:r w:rsidRPr="00C04296">
        <w:rPr>
          <w:rFonts w:asciiTheme="minorHAnsi" w:eastAsia="Times New Roman" w:hAnsiTheme="minorHAnsi" w:cstheme="minorHAnsi"/>
          <w:sz w:val="22"/>
          <w:lang w:val="es-ES" w:eastAsia="es-ES"/>
        </w:rPr>
        <w:t>durante el periodo 20</w:t>
      </w:r>
      <w:r w:rsidR="005C5E40">
        <w:rPr>
          <w:rFonts w:asciiTheme="minorHAnsi" w:eastAsia="Times New Roman" w:hAnsiTheme="minorHAnsi" w:cstheme="minorHAnsi"/>
          <w:sz w:val="22"/>
          <w:lang w:val="es-ES" w:eastAsia="es-ES"/>
        </w:rPr>
        <w:t>20</w:t>
      </w:r>
      <w:r w:rsidRPr="00C04296">
        <w:rPr>
          <w:rFonts w:asciiTheme="minorHAnsi" w:eastAsia="Times New Roman" w:hAnsiTheme="minorHAnsi" w:cstheme="minorHAnsi"/>
          <w:sz w:val="22"/>
          <w:lang w:val="es-ES" w:eastAsia="es-ES"/>
        </w:rPr>
        <w:t xml:space="preserve"> se asignaron recursos</w:t>
      </w:r>
      <w:r w:rsidR="00A24F9F">
        <w:rPr>
          <w:rFonts w:asciiTheme="minorHAnsi" w:eastAsia="Times New Roman" w:hAnsiTheme="minorHAnsi" w:cstheme="minorHAnsi"/>
          <w:sz w:val="22"/>
          <w:lang w:val="es-ES" w:eastAsia="es-ES"/>
        </w:rPr>
        <w:t xml:space="preserve"> en el mes de </w:t>
      </w:r>
      <w:r w:rsidR="000A5A3A">
        <w:rPr>
          <w:rFonts w:asciiTheme="minorHAnsi" w:eastAsia="Times New Roman" w:hAnsiTheme="minorHAnsi" w:cstheme="minorHAnsi"/>
          <w:sz w:val="22"/>
          <w:lang w:val="es-ES" w:eastAsia="es-ES"/>
        </w:rPr>
        <w:t>diciembre</w:t>
      </w:r>
      <w:r w:rsidR="00A24F9F">
        <w:rPr>
          <w:rFonts w:asciiTheme="minorHAnsi" w:eastAsia="Times New Roman" w:hAnsiTheme="minorHAnsi" w:cstheme="minorHAnsi"/>
          <w:sz w:val="22"/>
          <w:lang w:val="es-ES" w:eastAsia="es-ES"/>
        </w:rPr>
        <w:t xml:space="preserve"> lo que imposibilita </w:t>
      </w:r>
      <w:r w:rsidR="000A5A3A">
        <w:rPr>
          <w:rFonts w:asciiTheme="minorHAnsi" w:eastAsia="Times New Roman" w:hAnsiTheme="minorHAnsi" w:cstheme="minorHAnsi"/>
          <w:sz w:val="22"/>
          <w:lang w:val="es-ES" w:eastAsia="es-ES"/>
        </w:rPr>
        <w:t>a la administración de ejecutar los recursos</w:t>
      </w:r>
      <w:r w:rsidRPr="00C04296">
        <w:rPr>
          <w:rFonts w:asciiTheme="minorHAnsi" w:eastAsia="Times New Roman" w:hAnsiTheme="minorHAnsi" w:cstheme="minorHAnsi"/>
          <w:sz w:val="22"/>
          <w:lang w:val="es-ES" w:eastAsia="es-ES"/>
        </w:rPr>
        <w:t>; no obstante, se tenían ¢</w:t>
      </w:r>
      <w:r w:rsidR="00434695">
        <w:rPr>
          <w:rFonts w:asciiTheme="minorHAnsi" w:eastAsia="Times New Roman" w:hAnsiTheme="minorHAnsi" w:cstheme="minorHAnsi"/>
          <w:sz w:val="22"/>
          <w:lang w:val="es-ES" w:eastAsia="es-ES"/>
        </w:rPr>
        <w:t>609.7</w:t>
      </w:r>
      <w:r w:rsidRPr="00C04296">
        <w:rPr>
          <w:rFonts w:asciiTheme="minorHAnsi" w:eastAsia="Times New Roman" w:hAnsiTheme="minorHAnsi" w:cstheme="minorHAnsi"/>
          <w:sz w:val="22"/>
          <w:lang w:val="es-ES" w:eastAsia="es-ES"/>
        </w:rPr>
        <w:t xml:space="preserve"> millones disponibles de períodos anteriores, de los cuales se lograron comprometer en:</w:t>
      </w:r>
      <w:r w:rsidRPr="00C04296">
        <w:rPr>
          <w:rFonts w:asciiTheme="minorHAnsi" w:eastAsia="Times New Roman" w:hAnsiTheme="minorHAnsi" w:cstheme="minorHAnsi"/>
          <w:szCs w:val="24"/>
          <w:lang w:val="es-ES" w:eastAsia="es-ES"/>
        </w:rPr>
        <w:t xml:space="preserve"> </w:t>
      </w:r>
    </w:p>
    <w:p w14:paraId="0FEA9077" w14:textId="77777777" w:rsidR="00C04296" w:rsidRPr="00C04296" w:rsidRDefault="00C04296" w:rsidP="00C04296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smallCaps/>
          <w:color w:val="000000"/>
          <w:sz w:val="22"/>
          <w:lang w:val="es-ES" w:eastAsia="es-ES"/>
        </w:rPr>
      </w:pPr>
    </w:p>
    <w:p w14:paraId="34B4D02A" w14:textId="6BAF9EE9" w:rsidR="00C04296" w:rsidRPr="00C04296" w:rsidRDefault="00C04296" w:rsidP="00C04296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smallCaps/>
          <w:color w:val="000000"/>
          <w:sz w:val="22"/>
          <w:lang w:val="es-ES" w:eastAsia="es-ES"/>
        </w:rPr>
      </w:pPr>
      <w:r w:rsidRPr="00C04296">
        <w:rPr>
          <w:rFonts w:asciiTheme="minorHAnsi" w:eastAsia="Times New Roman" w:hAnsiTheme="minorHAnsi" w:cstheme="minorHAnsi"/>
          <w:b/>
          <w:smallCaps/>
          <w:color w:val="000000"/>
          <w:sz w:val="22"/>
          <w:lang w:val="es-ES" w:eastAsia="es-ES"/>
        </w:rPr>
        <w:t xml:space="preserve">Cuadro No. </w:t>
      </w:r>
      <w:r w:rsidR="008B6B68">
        <w:rPr>
          <w:rFonts w:asciiTheme="minorHAnsi" w:eastAsia="Times New Roman" w:hAnsiTheme="minorHAnsi" w:cstheme="minorHAnsi"/>
          <w:b/>
          <w:smallCaps/>
          <w:color w:val="000000"/>
          <w:sz w:val="22"/>
          <w:lang w:val="es-ES" w:eastAsia="es-ES"/>
        </w:rPr>
        <w:t>6</w:t>
      </w:r>
    </w:p>
    <w:p w14:paraId="17A2B82C" w14:textId="77777777" w:rsidR="00C04296" w:rsidRPr="00C04296" w:rsidRDefault="00C04296" w:rsidP="00C04296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sz w:val="22"/>
          <w:lang w:val="es-ES" w:eastAsia="es-ES"/>
        </w:rPr>
      </w:pPr>
      <w:r w:rsidRPr="00C04296">
        <w:rPr>
          <w:rFonts w:asciiTheme="minorHAnsi" w:eastAsia="Times New Roman" w:hAnsiTheme="minorHAnsi" w:cstheme="minorHAnsi"/>
          <w:b/>
          <w:smallCaps/>
          <w:color w:val="000000"/>
          <w:sz w:val="22"/>
          <w:lang w:val="es-ES" w:eastAsia="es-ES"/>
        </w:rPr>
        <w:t>Presupuesto Ejecutado Bono Colectivo</w:t>
      </w:r>
    </w:p>
    <w:p w14:paraId="58802C73" w14:textId="77777777" w:rsidR="00C04296" w:rsidRPr="00C04296" w:rsidRDefault="00C04296" w:rsidP="00C04296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val="es-ES" w:eastAsia="es-ES"/>
        </w:rPr>
      </w:pPr>
    </w:p>
    <w:tbl>
      <w:tblPr>
        <w:tblW w:w="6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0"/>
        <w:gridCol w:w="1280"/>
      </w:tblGrid>
      <w:tr w:rsidR="001974D5" w:rsidRPr="001974D5" w14:paraId="6B2E9A29" w14:textId="77777777" w:rsidTr="00A238C8">
        <w:trPr>
          <w:trHeight w:val="290"/>
          <w:tblHeader/>
          <w:jc w:val="center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4E9C615A" w14:textId="77777777" w:rsidR="001974D5" w:rsidRPr="001974D5" w:rsidRDefault="001974D5" w:rsidP="001974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1974D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CR"/>
              </w:rPr>
              <w:t>Proyecto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04FA9B6" w14:textId="6689C052" w:rsidR="001974D5" w:rsidRPr="001974D5" w:rsidRDefault="001974D5" w:rsidP="001974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1974D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CR"/>
              </w:rPr>
              <w:t>Monto</w:t>
            </w:r>
          </w:p>
        </w:tc>
      </w:tr>
      <w:tr w:rsidR="001974D5" w:rsidRPr="001974D5" w14:paraId="7D43C5B6" w14:textId="77777777" w:rsidTr="001974D5">
        <w:trPr>
          <w:trHeight w:val="29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F813" w14:textId="77777777" w:rsidR="001974D5" w:rsidRPr="001974D5" w:rsidRDefault="001974D5" w:rsidP="001974D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</w:pPr>
            <w:r w:rsidRPr="001974D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  <w:t>Financiamiento de Planta de Tratamiento Limón 2000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E15F" w14:textId="77777777" w:rsidR="001974D5" w:rsidRPr="001974D5" w:rsidRDefault="001974D5" w:rsidP="001974D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</w:pPr>
            <w:r w:rsidRPr="001974D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  <w:t xml:space="preserve">          350,3 </w:t>
            </w:r>
          </w:p>
        </w:tc>
      </w:tr>
      <w:tr w:rsidR="001974D5" w:rsidRPr="001974D5" w14:paraId="588BA774" w14:textId="77777777" w:rsidTr="001974D5">
        <w:trPr>
          <w:trHeight w:val="29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CCE8" w14:textId="77777777" w:rsidR="001974D5" w:rsidRPr="001974D5" w:rsidRDefault="001974D5" w:rsidP="001974D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</w:pPr>
            <w:r w:rsidRPr="001974D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  <w:t>Financiamiento de BC Poás Identidad Progreso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A870" w14:textId="77777777" w:rsidR="001974D5" w:rsidRPr="001974D5" w:rsidRDefault="001974D5" w:rsidP="001974D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</w:pPr>
            <w:r w:rsidRPr="001974D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  <w:t xml:space="preserve">            43,7 </w:t>
            </w:r>
          </w:p>
        </w:tc>
      </w:tr>
      <w:tr w:rsidR="001974D5" w:rsidRPr="001974D5" w14:paraId="082D2FEE" w14:textId="77777777" w:rsidTr="001974D5">
        <w:trPr>
          <w:trHeight w:val="29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F405" w14:textId="77777777" w:rsidR="001974D5" w:rsidRPr="001974D5" w:rsidRDefault="001974D5" w:rsidP="001974D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</w:pPr>
            <w:r w:rsidRPr="001974D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  <w:t>Financiamiento Tierra Prometida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265B" w14:textId="77777777" w:rsidR="001974D5" w:rsidRPr="001974D5" w:rsidRDefault="001974D5" w:rsidP="001974D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</w:pPr>
            <w:r w:rsidRPr="001974D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  <w:t xml:space="preserve">          119,8 </w:t>
            </w:r>
          </w:p>
        </w:tc>
      </w:tr>
      <w:tr w:rsidR="001974D5" w:rsidRPr="001974D5" w14:paraId="610D1759" w14:textId="77777777" w:rsidTr="001974D5">
        <w:trPr>
          <w:trHeight w:val="29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6549" w14:textId="77777777" w:rsidR="001974D5" w:rsidRPr="001974D5" w:rsidRDefault="001974D5" w:rsidP="001974D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</w:pPr>
            <w:r w:rsidRPr="001974D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  <w:lastRenderedPageBreak/>
              <w:t>Financiamiento adicional Corina Rodríguez 1986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7CF7" w14:textId="77777777" w:rsidR="001974D5" w:rsidRPr="001974D5" w:rsidRDefault="001974D5" w:rsidP="001974D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</w:pPr>
            <w:r w:rsidRPr="001974D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  <w:t xml:space="preserve">              9,1 </w:t>
            </w:r>
          </w:p>
        </w:tc>
      </w:tr>
      <w:tr w:rsidR="001974D5" w:rsidRPr="001974D5" w14:paraId="68EE1B1F" w14:textId="77777777" w:rsidTr="001974D5">
        <w:trPr>
          <w:trHeight w:val="29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A8D8" w14:textId="644414B6" w:rsidR="001974D5" w:rsidRPr="001974D5" w:rsidRDefault="001974D5" w:rsidP="001974D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</w:pPr>
            <w:r w:rsidRPr="001974D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  <w:t xml:space="preserve">Financiamiento </w:t>
            </w:r>
            <w:r w:rsidR="00C0528E" w:rsidRPr="001974D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  <w:t>adicional Parque</w:t>
            </w:r>
            <w:r w:rsidRPr="001974D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  <w:t xml:space="preserve"> Recreativo Jorge Debravo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3571" w14:textId="77777777" w:rsidR="001974D5" w:rsidRPr="001974D5" w:rsidRDefault="001974D5" w:rsidP="001974D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</w:pPr>
            <w:r w:rsidRPr="001974D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  <w:t xml:space="preserve">              5,8 </w:t>
            </w:r>
          </w:p>
        </w:tc>
      </w:tr>
      <w:tr w:rsidR="001974D5" w:rsidRPr="001974D5" w14:paraId="28099BB1" w14:textId="77777777" w:rsidTr="001974D5">
        <w:trPr>
          <w:trHeight w:val="29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63C2" w14:textId="57CCC633" w:rsidR="001974D5" w:rsidRPr="001974D5" w:rsidRDefault="001974D5" w:rsidP="001974D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</w:pPr>
            <w:r w:rsidRPr="001974D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  <w:t xml:space="preserve">Financiamiento </w:t>
            </w:r>
            <w:r w:rsidR="00C0528E" w:rsidRPr="001974D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  <w:t>adicional Parque</w:t>
            </w:r>
            <w:r w:rsidRPr="001974D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  <w:t xml:space="preserve"> Esparcimiento La Cima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C7BE" w14:textId="77777777" w:rsidR="001974D5" w:rsidRPr="001974D5" w:rsidRDefault="001974D5" w:rsidP="001974D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</w:pPr>
            <w:r w:rsidRPr="001974D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  <w:t xml:space="preserve">              3,1 </w:t>
            </w:r>
          </w:p>
        </w:tc>
      </w:tr>
      <w:tr w:rsidR="001974D5" w:rsidRPr="001974D5" w14:paraId="3B33E309" w14:textId="77777777" w:rsidTr="001974D5">
        <w:trPr>
          <w:trHeight w:val="29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9CB6" w14:textId="3F602786" w:rsidR="001974D5" w:rsidRPr="001974D5" w:rsidRDefault="001974D5" w:rsidP="001974D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</w:pPr>
            <w:r w:rsidRPr="001974D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  <w:t xml:space="preserve">Financiamiento </w:t>
            </w:r>
            <w:r w:rsidR="00A238C8" w:rsidRPr="001974D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  <w:t>adicional Parque</w:t>
            </w:r>
            <w:r w:rsidRPr="001974D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  <w:t xml:space="preserve"> La Libertad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A990" w14:textId="77777777" w:rsidR="001974D5" w:rsidRPr="001974D5" w:rsidRDefault="001974D5" w:rsidP="001974D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</w:pPr>
            <w:r w:rsidRPr="001974D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  <w:t xml:space="preserve">              4,8 </w:t>
            </w:r>
          </w:p>
        </w:tc>
      </w:tr>
      <w:tr w:rsidR="001974D5" w:rsidRPr="001974D5" w14:paraId="01C4A83E" w14:textId="77777777" w:rsidTr="001974D5">
        <w:trPr>
          <w:trHeight w:val="29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B57F" w14:textId="77777777" w:rsidR="001974D5" w:rsidRPr="001974D5" w:rsidRDefault="001974D5" w:rsidP="001974D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</w:pPr>
            <w:r w:rsidRPr="001974D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  <w:t>Financiamiento adicional Juanito Mora 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B230" w14:textId="77777777" w:rsidR="001974D5" w:rsidRPr="001974D5" w:rsidRDefault="001974D5" w:rsidP="001974D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</w:pPr>
            <w:r w:rsidRPr="001974D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  <w:t xml:space="preserve">              5,3 </w:t>
            </w:r>
          </w:p>
        </w:tc>
      </w:tr>
      <w:tr w:rsidR="001974D5" w:rsidRPr="001974D5" w14:paraId="0C4AD1B6" w14:textId="77777777" w:rsidTr="001974D5">
        <w:trPr>
          <w:trHeight w:val="29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0CF7" w14:textId="77777777" w:rsidR="001974D5" w:rsidRPr="001974D5" w:rsidRDefault="001974D5" w:rsidP="001974D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</w:pPr>
            <w:r w:rsidRPr="001974D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  <w:t>Financiamiento adicional Los Lirios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53A6" w14:textId="77777777" w:rsidR="001974D5" w:rsidRPr="001974D5" w:rsidRDefault="001974D5" w:rsidP="001974D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</w:pPr>
            <w:r w:rsidRPr="001974D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  <w:t xml:space="preserve">            15,5 </w:t>
            </w:r>
          </w:p>
        </w:tc>
      </w:tr>
      <w:tr w:rsidR="001974D5" w:rsidRPr="001974D5" w14:paraId="399EFF8E" w14:textId="77777777" w:rsidTr="001974D5">
        <w:trPr>
          <w:trHeight w:val="29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F4C1" w14:textId="77777777" w:rsidR="001974D5" w:rsidRPr="001974D5" w:rsidRDefault="001974D5" w:rsidP="001974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CR"/>
              </w:rPr>
            </w:pPr>
            <w:proofErr w:type="gramStart"/>
            <w:r w:rsidRPr="001974D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CR"/>
              </w:rPr>
              <w:t>Total</w:t>
            </w:r>
            <w:proofErr w:type="gramEnd"/>
            <w:r w:rsidRPr="001974D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CR"/>
              </w:rPr>
              <w:t xml:space="preserve"> Bono Colectivo aprobado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6E73" w14:textId="77777777" w:rsidR="001974D5" w:rsidRPr="001974D5" w:rsidRDefault="001974D5" w:rsidP="001974D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1974D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CR"/>
              </w:rPr>
              <w:t xml:space="preserve">          557,4 </w:t>
            </w:r>
          </w:p>
        </w:tc>
      </w:tr>
      <w:tr w:rsidR="001974D5" w:rsidRPr="001974D5" w14:paraId="0ED4B1D0" w14:textId="77777777" w:rsidTr="001974D5">
        <w:trPr>
          <w:trHeight w:val="290"/>
          <w:jc w:val="center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EA49" w14:textId="77777777" w:rsidR="001974D5" w:rsidRPr="001974D5" w:rsidRDefault="001974D5" w:rsidP="001974D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</w:pPr>
            <w:r w:rsidRPr="001974D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  <w:t>Presupuesto Compromisos 2019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AA56" w14:textId="77777777" w:rsidR="001974D5" w:rsidRPr="001974D5" w:rsidRDefault="001974D5" w:rsidP="001974D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</w:pPr>
            <w:r w:rsidRPr="001974D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  <w:t xml:space="preserve">             609,7 </w:t>
            </w:r>
          </w:p>
        </w:tc>
      </w:tr>
      <w:tr w:rsidR="001974D5" w:rsidRPr="001974D5" w14:paraId="16BB3849" w14:textId="77777777" w:rsidTr="001974D5">
        <w:trPr>
          <w:trHeight w:val="29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22C0" w14:textId="77777777" w:rsidR="001974D5" w:rsidRPr="001974D5" w:rsidRDefault="001974D5" w:rsidP="001974D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</w:pPr>
            <w:r w:rsidRPr="001974D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  <w:t>Presupuesto 2020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DD58" w14:textId="77777777" w:rsidR="001974D5" w:rsidRPr="001974D5" w:rsidRDefault="001974D5" w:rsidP="001974D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</w:pPr>
            <w:r w:rsidRPr="001974D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  <w:t xml:space="preserve">          1 923,1 </w:t>
            </w:r>
          </w:p>
        </w:tc>
      </w:tr>
      <w:tr w:rsidR="001974D5" w:rsidRPr="001974D5" w14:paraId="059DA9DE" w14:textId="77777777" w:rsidTr="001974D5">
        <w:trPr>
          <w:trHeight w:val="29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0EA7" w14:textId="112E7959" w:rsidR="001974D5" w:rsidRPr="001974D5" w:rsidRDefault="00A238C8" w:rsidP="001974D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</w:pPr>
            <w:r w:rsidRPr="001974D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  <w:t>Total,</w:t>
            </w:r>
            <w:r w:rsidR="001974D5" w:rsidRPr="001974D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  <w:t xml:space="preserve"> Presupuesto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F71B" w14:textId="77777777" w:rsidR="001974D5" w:rsidRPr="001974D5" w:rsidRDefault="001974D5" w:rsidP="001974D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</w:pPr>
            <w:r w:rsidRPr="001974D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R"/>
              </w:rPr>
              <w:t xml:space="preserve">          2 532,8 </w:t>
            </w:r>
          </w:p>
        </w:tc>
      </w:tr>
    </w:tbl>
    <w:p w14:paraId="79A4EE7D" w14:textId="497F2FB7" w:rsidR="00C04296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23"/>
          <w:szCs w:val="23"/>
          <w:lang w:val="es-MX" w:eastAsia="es-ES"/>
        </w:rPr>
      </w:pPr>
    </w:p>
    <w:p w14:paraId="64ABEBC2" w14:textId="6152E32A" w:rsidR="00EE760C" w:rsidRDefault="00750662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23"/>
          <w:szCs w:val="23"/>
          <w:lang w:val="es-MX" w:eastAsia="es-ES"/>
        </w:rPr>
      </w:pPr>
      <w:r w:rsidRPr="00FF730A">
        <w:rPr>
          <w:rFonts w:asciiTheme="minorHAnsi" w:hAnsiTheme="minorHAnsi" w:cs="TimesNewRoman"/>
          <w:sz w:val="22"/>
          <w:lang w:eastAsia="es-CR"/>
        </w:rPr>
        <w:t>Los recursos del presupuesto 2020 por ¢1.9523 millones ingresaron en dos tractos el 25 de noviembre y el 22 de diciembre, por lo cual no fue posible ejecutarlos. Estos recursos se incluyen en el Presupuesto 2021 como Compromisos del 2020 para el trámite de la Segunda Fase del proyecto La Carpio</w:t>
      </w:r>
      <w:r>
        <w:rPr>
          <w:rFonts w:asciiTheme="minorHAnsi" w:hAnsiTheme="minorHAnsi" w:cs="TimesNewRoman"/>
          <w:sz w:val="22"/>
          <w:lang w:eastAsia="es-CR"/>
        </w:rPr>
        <w:t>.</w:t>
      </w:r>
    </w:p>
    <w:p w14:paraId="0023A51A" w14:textId="728177C9" w:rsidR="00EE760C" w:rsidRDefault="00EE760C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23"/>
          <w:szCs w:val="23"/>
          <w:lang w:val="es-MX" w:eastAsia="es-ES"/>
        </w:rPr>
      </w:pPr>
    </w:p>
    <w:p w14:paraId="3A151AE6" w14:textId="29CC5692" w:rsidR="007C5A9E" w:rsidRPr="00E87A25" w:rsidRDefault="00C04296" w:rsidP="0057129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</w:pPr>
      <w:r w:rsidRPr="00E87A25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PI-05 “</w:t>
      </w:r>
      <w:r w:rsidRPr="00E87A25">
        <w:rPr>
          <w:rFonts w:asciiTheme="minorHAnsi" w:eastAsia="Times New Roman" w:hAnsiTheme="minorHAnsi" w:cstheme="minorHAnsi"/>
          <w:i/>
          <w:sz w:val="22"/>
          <w:szCs w:val="23"/>
          <w:lang w:val="es-MX" w:eastAsia="es-ES"/>
        </w:rPr>
        <w:t>Mejorar el Índice de Eficiencia de las Entidades Autorizadas</w:t>
      </w:r>
      <w:r w:rsidRPr="00E87A25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” obtuvo una calificación del 6</w:t>
      </w:r>
      <w:r w:rsidR="00B4697C" w:rsidRPr="00E87A25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7</w:t>
      </w:r>
      <w:r w:rsidRPr="00E87A25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%. De</w:t>
      </w:r>
      <w:r w:rsidRPr="00E87A25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 xml:space="preserve"> las 2</w:t>
      </w:r>
      <w:r w:rsidR="00100253" w:rsidRPr="00E87A25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>4</w:t>
      </w:r>
      <w:r w:rsidRPr="00E87A25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 xml:space="preserve"> entidades evaluadas solo 1</w:t>
      </w:r>
      <w:r w:rsidR="00525B86" w:rsidRPr="00E87A25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>6</w:t>
      </w:r>
      <w:r w:rsidRPr="00E87A25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 xml:space="preserve"> obtienen una calificación mayor al 75%. </w:t>
      </w:r>
      <w:r w:rsidR="003B7767" w:rsidRPr="00E87A25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El último trimestre del año se vio influenciado por cambios importantes como disminución de presupuesto, pandemia y cambios en las metodologías de trabajo de las Entidades </w:t>
      </w:r>
      <w:r w:rsidR="00D62E8C" w:rsidRPr="00E87A25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Autorizadas,</w:t>
      </w:r>
      <w:r w:rsidR="003B7767" w:rsidRPr="00E87A25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 así como otras instituciones que forman parte </w:t>
      </w:r>
      <w:r w:rsidR="00E119BF" w:rsidRPr="00E87A25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del proceso</w:t>
      </w:r>
      <w:r w:rsidR="003B7767" w:rsidRPr="00E87A25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 de importancia, mismos que afectan la eficiencia de las Entidades, en algunas se da en mayor medida que en otras por su estructura organizacional</w:t>
      </w:r>
      <w:r w:rsidR="00E87A25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.</w:t>
      </w:r>
    </w:p>
    <w:p w14:paraId="28BCE1EF" w14:textId="2EB50856" w:rsidR="00C04296" w:rsidRPr="00C04296" w:rsidRDefault="00C04296" w:rsidP="00C042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mallCaps/>
          <w:sz w:val="22"/>
          <w:szCs w:val="23"/>
          <w:lang w:val="es-MX" w:eastAsia="es-ES"/>
        </w:rPr>
      </w:pPr>
      <w:r w:rsidRPr="00C04296">
        <w:rPr>
          <w:rFonts w:asciiTheme="minorHAnsi" w:eastAsia="Times New Roman" w:hAnsiTheme="minorHAnsi" w:cstheme="minorHAnsi"/>
          <w:b/>
          <w:smallCaps/>
          <w:sz w:val="22"/>
          <w:szCs w:val="23"/>
          <w:lang w:val="es-MX" w:eastAsia="es-ES"/>
        </w:rPr>
        <w:t xml:space="preserve">Cuadro </w:t>
      </w:r>
      <w:r w:rsidR="008B6B68">
        <w:rPr>
          <w:rFonts w:asciiTheme="minorHAnsi" w:eastAsia="Times New Roman" w:hAnsiTheme="minorHAnsi" w:cstheme="minorHAnsi"/>
          <w:b/>
          <w:smallCaps/>
          <w:sz w:val="22"/>
          <w:szCs w:val="23"/>
          <w:lang w:val="es-MX" w:eastAsia="es-ES"/>
        </w:rPr>
        <w:t>7</w:t>
      </w:r>
    </w:p>
    <w:p w14:paraId="713459E0" w14:textId="77777777" w:rsidR="00C04296" w:rsidRPr="00C04296" w:rsidRDefault="00C04296" w:rsidP="00C042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mallCaps/>
          <w:sz w:val="22"/>
          <w:szCs w:val="23"/>
          <w:lang w:val="es-MX" w:eastAsia="es-ES"/>
        </w:rPr>
      </w:pPr>
      <w:r w:rsidRPr="00C04296">
        <w:rPr>
          <w:rFonts w:asciiTheme="minorHAnsi" w:eastAsia="Times New Roman" w:hAnsiTheme="minorHAnsi" w:cstheme="minorHAnsi"/>
          <w:b/>
          <w:smallCaps/>
          <w:sz w:val="22"/>
          <w:szCs w:val="23"/>
          <w:lang w:val="es-MX" w:eastAsia="es-ES"/>
        </w:rPr>
        <w:t>Índice de Eficiencia de las Entidades</w:t>
      </w:r>
    </w:p>
    <w:p w14:paraId="0068CE3B" w14:textId="77777777" w:rsidR="00C04296" w:rsidRPr="0070042A" w:rsidRDefault="00C04296" w:rsidP="00C042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mallCaps/>
          <w:sz w:val="18"/>
          <w:szCs w:val="18"/>
          <w:lang w:val="es-MX" w:eastAsia="es-ES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275"/>
        <w:gridCol w:w="284"/>
        <w:gridCol w:w="3118"/>
        <w:gridCol w:w="1125"/>
      </w:tblGrid>
      <w:tr w:rsidR="00C04296" w:rsidRPr="00C04296" w14:paraId="3CEC32E8" w14:textId="77777777" w:rsidTr="00BC2287">
        <w:trPr>
          <w:trHeight w:val="249"/>
          <w:tblHeader/>
          <w:jc w:val="center"/>
        </w:trPr>
        <w:tc>
          <w:tcPr>
            <w:tcW w:w="2840" w:type="dxa"/>
            <w:shd w:val="clear" w:color="auto" w:fill="C6D9F1" w:themeFill="text2" w:themeFillTint="33"/>
            <w:vAlign w:val="center"/>
            <w:hideMark/>
          </w:tcPr>
          <w:p w14:paraId="4FBC579E" w14:textId="77777777" w:rsidR="00C04296" w:rsidRPr="00C04296" w:rsidRDefault="00C04296" w:rsidP="00C042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CR"/>
              </w:rPr>
            </w:pPr>
            <w:r w:rsidRPr="00C0429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CR"/>
              </w:rPr>
              <w:t>Entidad Autorizada</w:t>
            </w:r>
          </w:p>
        </w:tc>
        <w:tc>
          <w:tcPr>
            <w:tcW w:w="1275" w:type="dxa"/>
            <w:shd w:val="clear" w:color="auto" w:fill="C6D9F1" w:themeFill="text2" w:themeFillTint="33"/>
            <w:noWrap/>
            <w:vAlign w:val="center"/>
            <w:hideMark/>
          </w:tcPr>
          <w:p w14:paraId="077A2C5C" w14:textId="77777777" w:rsidR="00C04296" w:rsidRPr="00C04296" w:rsidRDefault="00C04296" w:rsidP="00C042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CR"/>
              </w:rPr>
            </w:pPr>
            <w:r w:rsidRPr="00C0429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CR"/>
              </w:rPr>
              <w:t xml:space="preserve">Puntaje </w:t>
            </w:r>
          </w:p>
          <w:p w14:paraId="75046CC2" w14:textId="77777777" w:rsidR="00C04296" w:rsidRPr="00C04296" w:rsidRDefault="00C04296" w:rsidP="00C042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CR"/>
              </w:rPr>
            </w:pPr>
            <w:r w:rsidRPr="00C0429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CR"/>
              </w:rPr>
              <w:t>Obtenido</w:t>
            </w:r>
          </w:p>
        </w:tc>
        <w:tc>
          <w:tcPr>
            <w:tcW w:w="284" w:type="dxa"/>
            <w:shd w:val="clear" w:color="auto" w:fill="FFFFFF" w:themeFill="background1"/>
          </w:tcPr>
          <w:p w14:paraId="45CD362D" w14:textId="77777777" w:rsidR="00C04296" w:rsidRPr="00C04296" w:rsidRDefault="00C04296" w:rsidP="00C042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3118" w:type="dxa"/>
            <w:shd w:val="clear" w:color="auto" w:fill="C6D9F1" w:themeFill="text2" w:themeFillTint="33"/>
            <w:vAlign w:val="center"/>
          </w:tcPr>
          <w:p w14:paraId="6CA4452C" w14:textId="77777777" w:rsidR="00C04296" w:rsidRPr="00C04296" w:rsidRDefault="00C04296" w:rsidP="00C042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CR"/>
              </w:rPr>
            </w:pPr>
            <w:r w:rsidRPr="00C0429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CR"/>
              </w:rPr>
              <w:t>Entidad Autorizada</w:t>
            </w:r>
          </w:p>
        </w:tc>
        <w:tc>
          <w:tcPr>
            <w:tcW w:w="1125" w:type="dxa"/>
            <w:shd w:val="clear" w:color="auto" w:fill="C6D9F1" w:themeFill="text2" w:themeFillTint="33"/>
            <w:vAlign w:val="center"/>
          </w:tcPr>
          <w:p w14:paraId="74FE873E" w14:textId="77777777" w:rsidR="00C04296" w:rsidRPr="00C04296" w:rsidRDefault="00C04296" w:rsidP="00C042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CR"/>
              </w:rPr>
            </w:pPr>
            <w:r w:rsidRPr="00C0429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CR"/>
              </w:rPr>
              <w:t xml:space="preserve">Puntaje </w:t>
            </w:r>
          </w:p>
          <w:p w14:paraId="639742D8" w14:textId="77777777" w:rsidR="00C04296" w:rsidRPr="00C04296" w:rsidRDefault="00C04296" w:rsidP="00C042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CR"/>
              </w:rPr>
            </w:pPr>
            <w:r w:rsidRPr="00C0429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CR"/>
              </w:rPr>
              <w:t>Obtenido</w:t>
            </w:r>
          </w:p>
        </w:tc>
      </w:tr>
      <w:tr w:rsidR="00166E07" w:rsidRPr="00C04296" w14:paraId="77752358" w14:textId="77777777" w:rsidTr="00E44934">
        <w:trPr>
          <w:trHeight w:val="405"/>
          <w:jc w:val="center"/>
        </w:trPr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C69D156" w14:textId="77777777" w:rsidR="00166E07" w:rsidRPr="00C04296" w:rsidRDefault="00166E07" w:rsidP="00166E0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Mutual Cartago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290AF08" w14:textId="5EEC9E71" w:rsidR="00166E07" w:rsidRPr="00C04296" w:rsidRDefault="00166E07" w:rsidP="00166E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88</w:t>
            </w:r>
          </w:p>
        </w:tc>
        <w:tc>
          <w:tcPr>
            <w:tcW w:w="284" w:type="dxa"/>
            <w:shd w:val="clear" w:color="auto" w:fill="FFFFFF" w:themeFill="background1"/>
          </w:tcPr>
          <w:p w14:paraId="539770C4" w14:textId="77777777" w:rsidR="00166E07" w:rsidRPr="00C04296" w:rsidRDefault="00166E07" w:rsidP="00166E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3CDE525" w14:textId="76C27480" w:rsidR="00166E07" w:rsidRPr="00C04296" w:rsidRDefault="00166E07" w:rsidP="00166E0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Bac San José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3CDCA365" w14:textId="1CFC4FB5" w:rsidR="00166E07" w:rsidRPr="00C04296" w:rsidRDefault="00166E07" w:rsidP="00166E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82</w:t>
            </w:r>
          </w:p>
        </w:tc>
      </w:tr>
      <w:tr w:rsidR="00166E07" w:rsidRPr="00C04296" w14:paraId="698B1DE6" w14:textId="77777777" w:rsidTr="00D176CB">
        <w:trPr>
          <w:trHeight w:val="341"/>
          <w:jc w:val="center"/>
        </w:trPr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3D9D603" w14:textId="77777777" w:rsidR="00166E07" w:rsidRPr="00C04296" w:rsidRDefault="00166E07" w:rsidP="00166E0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INVU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36F4126C" w14:textId="6A113384" w:rsidR="00166E07" w:rsidRPr="00C04296" w:rsidRDefault="00166E07" w:rsidP="00166E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76</w:t>
            </w:r>
          </w:p>
        </w:tc>
        <w:tc>
          <w:tcPr>
            <w:tcW w:w="284" w:type="dxa"/>
            <w:shd w:val="clear" w:color="auto" w:fill="FFFFFF" w:themeFill="background1"/>
          </w:tcPr>
          <w:p w14:paraId="4C739133" w14:textId="77777777" w:rsidR="00166E07" w:rsidRPr="00C04296" w:rsidRDefault="00166E07" w:rsidP="00166E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89634D0" w14:textId="168A9A50" w:rsidR="00166E07" w:rsidRPr="00C04296" w:rsidRDefault="00166E07" w:rsidP="00166E0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proofErr w:type="spellStart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Coopeande</w:t>
            </w:r>
            <w:proofErr w:type="spellEnd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 xml:space="preserve"> no 1 </w:t>
            </w:r>
            <w:proofErr w:type="spellStart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r.l</w:t>
            </w:r>
            <w:proofErr w:type="spellEnd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.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0574B687" w14:textId="5E4EB472" w:rsidR="00166E07" w:rsidRPr="00C04296" w:rsidRDefault="00166E07" w:rsidP="00166E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86</w:t>
            </w:r>
          </w:p>
        </w:tc>
      </w:tr>
      <w:tr w:rsidR="00166E07" w:rsidRPr="00C04296" w14:paraId="7C7A7511" w14:textId="77777777" w:rsidTr="00D176CB">
        <w:trPr>
          <w:trHeight w:val="405"/>
          <w:jc w:val="center"/>
        </w:trPr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1906FDFD" w14:textId="77777777" w:rsidR="00166E07" w:rsidRPr="00C04296" w:rsidRDefault="00166E07" w:rsidP="00166E0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Banco Popular y Desarrollo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3C4A88EF" w14:textId="31F287A3" w:rsidR="00166E07" w:rsidRPr="00C04296" w:rsidRDefault="00166E07" w:rsidP="00166E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93</w:t>
            </w:r>
          </w:p>
        </w:tc>
        <w:tc>
          <w:tcPr>
            <w:tcW w:w="284" w:type="dxa"/>
            <w:shd w:val="clear" w:color="auto" w:fill="FFFFFF" w:themeFill="background1"/>
          </w:tcPr>
          <w:p w14:paraId="1274113E" w14:textId="77777777" w:rsidR="00166E07" w:rsidRPr="00C04296" w:rsidRDefault="00166E07" w:rsidP="00166E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9C637E4" w14:textId="0C6D5AE6" w:rsidR="00166E07" w:rsidRPr="00C04296" w:rsidRDefault="00166E07" w:rsidP="00166E0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proofErr w:type="spellStart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Coopeuna</w:t>
            </w:r>
            <w:proofErr w:type="spellEnd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r.l</w:t>
            </w:r>
            <w:proofErr w:type="spellEnd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.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145ADA6E" w14:textId="5A44E918" w:rsidR="00166E07" w:rsidRPr="00C04296" w:rsidRDefault="00166E07" w:rsidP="00166E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81</w:t>
            </w:r>
          </w:p>
        </w:tc>
      </w:tr>
      <w:tr w:rsidR="00166E07" w:rsidRPr="00C04296" w14:paraId="389822CE" w14:textId="77777777" w:rsidTr="00D176CB">
        <w:trPr>
          <w:trHeight w:val="405"/>
          <w:jc w:val="center"/>
        </w:trPr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00E9F57B" w14:textId="77777777" w:rsidR="00166E07" w:rsidRPr="00C04296" w:rsidRDefault="00166E07" w:rsidP="00166E0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 xml:space="preserve">Banco Nacional 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2A7B1D2B" w14:textId="2F6EF5AB" w:rsidR="00166E07" w:rsidRPr="00C04296" w:rsidRDefault="00166E07" w:rsidP="00166E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48</w:t>
            </w:r>
          </w:p>
        </w:tc>
        <w:tc>
          <w:tcPr>
            <w:tcW w:w="284" w:type="dxa"/>
            <w:shd w:val="clear" w:color="auto" w:fill="FFFFFF" w:themeFill="background1"/>
          </w:tcPr>
          <w:p w14:paraId="501AB7EA" w14:textId="77777777" w:rsidR="00166E07" w:rsidRPr="00C04296" w:rsidRDefault="00166E07" w:rsidP="00166E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0E6151" w14:textId="20AF18C2" w:rsidR="00166E07" w:rsidRPr="00C04296" w:rsidRDefault="00166E07" w:rsidP="00166E0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proofErr w:type="spellStart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Coopecaja</w:t>
            </w:r>
            <w:proofErr w:type="spellEnd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3EB81F5E" w14:textId="7855988C" w:rsidR="00166E07" w:rsidRPr="00C04296" w:rsidRDefault="00166E07" w:rsidP="00166E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55</w:t>
            </w:r>
          </w:p>
        </w:tc>
      </w:tr>
      <w:tr w:rsidR="00166E07" w:rsidRPr="00C04296" w14:paraId="1C0F5177" w14:textId="77777777" w:rsidTr="00D176CB">
        <w:trPr>
          <w:trHeight w:val="405"/>
          <w:jc w:val="center"/>
        </w:trPr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3F7C0184" w14:textId="77777777" w:rsidR="00166E07" w:rsidRPr="00C04296" w:rsidRDefault="00166E07" w:rsidP="00166E0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Banco de Costa Rica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13530623" w14:textId="1FC83C12" w:rsidR="00166E07" w:rsidRPr="00C04296" w:rsidRDefault="00166E07" w:rsidP="00166E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93</w:t>
            </w:r>
          </w:p>
        </w:tc>
        <w:tc>
          <w:tcPr>
            <w:tcW w:w="284" w:type="dxa"/>
            <w:shd w:val="clear" w:color="auto" w:fill="FFFFFF" w:themeFill="background1"/>
          </w:tcPr>
          <w:p w14:paraId="731F36BE" w14:textId="77777777" w:rsidR="00166E07" w:rsidRPr="00C04296" w:rsidRDefault="00166E07" w:rsidP="00166E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F84028C" w14:textId="06CA3D68" w:rsidR="00166E07" w:rsidRPr="00C04296" w:rsidRDefault="00166E07" w:rsidP="00166E0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proofErr w:type="spellStart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Coopemep</w:t>
            </w:r>
            <w:proofErr w:type="spellEnd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r.l</w:t>
            </w:r>
            <w:proofErr w:type="spellEnd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.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56628183" w14:textId="17A26CB7" w:rsidR="00166E07" w:rsidRPr="00C04296" w:rsidRDefault="00166E07" w:rsidP="00166E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60</w:t>
            </w:r>
          </w:p>
        </w:tc>
      </w:tr>
      <w:tr w:rsidR="00166E07" w:rsidRPr="00C04296" w14:paraId="43C83CA0" w14:textId="77777777" w:rsidTr="00D176CB">
        <w:trPr>
          <w:trHeight w:val="405"/>
          <w:jc w:val="center"/>
        </w:trPr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12B4F1AA" w14:textId="77777777" w:rsidR="00166E07" w:rsidRPr="00C04296" w:rsidRDefault="00166E07" w:rsidP="00166E0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proofErr w:type="spellStart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Concoocique</w:t>
            </w:r>
            <w:proofErr w:type="spellEnd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r.l</w:t>
            </w:r>
            <w:proofErr w:type="spellEnd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42A7B969" w14:textId="2D6F00A9" w:rsidR="00166E07" w:rsidRPr="00C04296" w:rsidRDefault="00166E07" w:rsidP="00166E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95</w:t>
            </w:r>
          </w:p>
        </w:tc>
        <w:tc>
          <w:tcPr>
            <w:tcW w:w="284" w:type="dxa"/>
            <w:shd w:val="clear" w:color="auto" w:fill="FFFFFF" w:themeFill="background1"/>
          </w:tcPr>
          <w:p w14:paraId="3780C2E4" w14:textId="77777777" w:rsidR="00166E07" w:rsidRPr="00C04296" w:rsidRDefault="00166E07" w:rsidP="00166E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61C1852F" w14:textId="4D316938" w:rsidR="00166E07" w:rsidRPr="00C04296" w:rsidRDefault="00166E07" w:rsidP="00166E0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proofErr w:type="spellStart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Asedemasa</w:t>
            </w:r>
            <w:proofErr w:type="spellEnd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581F4C8A" w14:textId="7B9E60C8" w:rsidR="00166E07" w:rsidRPr="00C04296" w:rsidRDefault="00166E07" w:rsidP="00166E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50</w:t>
            </w:r>
          </w:p>
        </w:tc>
      </w:tr>
      <w:tr w:rsidR="00166E07" w:rsidRPr="00C04296" w14:paraId="38396EC9" w14:textId="77777777" w:rsidTr="00D176CB">
        <w:trPr>
          <w:trHeight w:val="312"/>
          <w:jc w:val="center"/>
        </w:trPr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73CA8E94" w14:textId="77777777" w:rsidR="00166E07" w:rsidRPr="00C04296" w:rsidRDefault="00166E07" w:rsidP="00166E0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proofErr w:type="spellStart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Fund.p</w:t>
            </w:r>
            <w:proofErr w:type="spellEnd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/</w:t>
            </w:r>
            <w:proofErr w:type="gramStart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 xml:space="preserve">la  </w:t>
            </w:r>
            <w:proofErr w:type="spellStart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Viv.CR.Canada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3CCCB668" w14:textId="3D037F6F" w:rsidR="00166E07" w:rsidRPr="00C04296" w:rsidRDefault="00166E07" w:rsidP="00166E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85</w:t>
            </w:r>
          </w:p>
        </w:tc>
        <w:tc>
          <w:tcPr>
            <w:tcW w:w="284" w:type="dxa"/>
            <w:shd w:val="clear" w:color="auto" w:fill="FFFFFF" w:themeFill="background1"/>
          </w:tcPr>
          <w:p w14:paraId="147E8A54" w14:textId="77777777" w:rsidR="00166E07" w:rsidRPr="00C04296" w:rsidRDefault="00166E07" w:rsidP="00166E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558D641F" w14:textId="05F3D7E3" w:rsidR="00166E07" w:rsidRPr="00C04296" w:rsidRDefault="00166E07" w:rsidP="00166E0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proofErr w:type="spellStart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Aseccss</w:t>
            </w:r>
            <w:proofErr w:type="spellEnd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2C46EE87" w14:textId="76ADE36C" w:rsidR="00166E07" w:rsidRPr="00C04296" w:rsidRDefault="00166E07" w:rsidP="00166E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86</w:t>
            </w:r>
          </w:p>
        </w:tc>
      </w:tr>
      <w:tr w:rsidR="00166E07" w:rsidRPr="00C04296" w14:paraId="4C942849" w14:textId="77777777" w:rsidTr="00D176CB">
        <w:trPr>
          <w:trHeight w:val="405"/>
          <w:jc w:val="center"/>
        </w:trPr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0E5BE246" w14:textId="77777777" w:rsidR="00166E07" w:rsidRPr="00C04296" w:rsidRDefault="00166E07" w:rsidP="00166E0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proofErr w:type="spellStart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Coopenae</w:t>
            </w:r>
            <w:proofErr w:type="spellEnd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r.l</w:t>
            </w:r>
            <w:proofErr w:type="spellEnd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76045551" w14:textId="1449E618" w:rsidR="00166E07" w:rsidRPr="00C04296" w:rsidRDefault="00166E07" w:rsidP="00166E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89</w:t>
            </w:r>
          </w:p>
        </w:tc>
        <w:tc>
          <w:tcPr>
            <w:tcW w:w="284" w:type="dxa"/>
            <w:shd w:val="clear" w:color="auto" w:fill="FFFFFF" w:themeFill="background1"/>
          </w:tcPr>
          <w:p w14:paraId="1F4A05FB" w14:textId="77777777" w:rsidR="00166E07" w:rsidRPr="00C04296" w:rsidRDefault="00166E07" w:rsidP="00166E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5D423E7" w14:textId="605E5132" w:rsidR="00166E07" w:rsidRPr="00C04296" w:rsidRDefault="00166E07" w:rsidP="00166E0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proofErr w:type="spellStart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Asemina</w:t>
            </w:r>
            <w:proofErr w:type="spellEnd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66725E2F" w14:textId="1D5DD830" w:rsidR="00166E07" w:rsidRPr="00C04296" w:rsidRDefault="00166E07" w:rsidP="00166E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45</w:t>
            </w:r>
          </w:p>
        </w:tc>
      </w:tr>
      <w:tr w:rsidR="00166E07" w:rsidRPr="00C04296" w14:paraId="0DCAD15A" w14:textId="77777777" w:rsidTr="0011268D">
        <w:trPr>
          <w:trHeight w:val="405"/>
          <w:jc w:val="center"/>
        </w:trPr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ADA51FB" w14:textId="77777777" w:rsidR="00166E07" w:rsidRPr="00C04296" w:rsidRDefault="00166E07" w:rsidP="00166E0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proofErr w:type="spellStart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Coopealianza</w:t>
            </w:r>
            <w:proofErr w:type="spellEnd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r.l</w:t>
            </w:r>
            <w:proofErr w:type="spellEnd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548805BD" w14:textId="073FF315" w:rsidR="00166E07" w:rsidRPr="00C04296" w:rsidRDefault="00166E07" w:rsidP="00166E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88</w:t>
            </w:r>
          </w:p>
        </w:tc>
        <w:tc>
          <w:tcPr>
            <w:tcW w:w="284" w:type="dxa"/>
            <w:shd w:val="clear" w:color="auto" w:fill="FFFFFF" w:themeFill="background1"/>
          </w:tcPr>
          <w:p w14:paraId="015111BC" w14:textId="77777777" w:rsidR="00166E07" w:rsidRPr="00C04296" w:rsidRDefault="00166E07" w:rsidP="00166E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E220642" w14:textId="343B67EE" w:rsidR="00166E07" w:rsidRPr="00C04296" w:rsidRDefault="00166E07" w:rsidP="00166E0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proofErr w:type="spellStart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Credecoop</w:t>
            </w:r>
            <w:proofErr w:type="spellEnd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r.l</w:t>
            </w:r>
            <w:proofErr w:type="spellEnd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.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1A56C4DB" w14:textId="660EDBAB" w:rsidR="00166E07" w:rsidRPr="00C04296" w:rsidRDefault="00166E07" w:rsidP="00166E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92</w:t>
            </w:r>
          </w:p>
        </w:tc>
      </w:tr>
      <w:tr w:rsidR="00166E07" w:rsidRPr="00C04296" w14:paraId="4ACAD425" w14:textId="77777777" w:rsidTr="0011268D">
        <w:trPr>
          <w:trHeight w:val="405"/>
          <w:jc w:val="center"/>
        </w:trPr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38CE25FA" w14:textId="77777777" w:rsidR="00166E07" w:rsidRPr="00C04296" w:rsidRDefault="00166E07" w:rsidP="00166E0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 xml:space="preserve">Coopeservidores </w:t>
            </w:r>
            <w:proofErr w:type="spellStart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r.l</w:t>
            </w:r>
            <w:proofErr w:type="spellEnd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5793B376" w14:textId="01405F7B" w:rsidR="00166E07" w:rsidRPr="00C04296" w:rsidRDefault="00166E07" w:rsidP="00166E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62</w:t>
            </w:r>
          </w:p>
        </w:tc>
        <w:tc>
          <w:tcPr>
            <w:tcW w:w="284" w:type="dxa"/>
            <w:shd w:val="clear" w:color="auto" w:fill="FFFFFF" w:themeFill="background1"/>
          </w:tcPr>
          <w:p w14:paraId="58588A89" w14:textId="77777777" w:rsidR="00166E07" w:rsidRPr="00C04296" w:rsidRDefault="00166E07" w:rsidP="00166E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57C78D59" w14:textId="630E1087" w:rsidR="00166E07" w:rsidRPr="00C04296" w:rsidRDefault="00166E07" w:rsidP="00166E0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proofErr w:type="spellStart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Coopesparta</w:t>
            </w:r>
            <w:proofErr w:type="spellEnd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r.l</w:t>
            </w:r>
            <w:proofErr w:type="spellEnd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.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1D867889" w14:textId="2D9CE9FB" w:rsidR="00166E07" w:rsidRPr="00C04296" w:rsidRDefault="00166E07" w:rsidP="00166E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97</w:t>
            </w:r>
          </w:p>
        </w:tc>
      </w:tr>
      <w:tr w:rsidR="00166E07" w:rsidRPr="00C04296" w14:paraId="7DFBBB1E" w14:textId="77777777" w:rsidTr="0011268D">
        <w:trPr>
          <w:trHeight w:val="405"/>
          <w:jc w:val="center"/>
        </w:trPr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2396801" w14:textId="77777777" w:rsidR="00166E07" w:rsidRPr="00C04296" w:rsidRDefault="00166E07" w:rsidP="00166E0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proofErr w:type="spellStart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lastRenderedPageBreak/>
              <w:t>Coopesanmarcos</w:t>
            </w:r>
            <w:proofErr w:type="spellEnd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r.l</w:t>
            </w:r>
            <w:proofErr w:type="spellEnd"/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4F57E307" w14:textId="777DA32B" w:rsidR="00166E07" w:rsidRPr="00C04296" w:rsidRDefault="00166E07" w:rsidP="00166E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97</w:t>
            </w:r>
          </w:p>
        </w:tc>
        <w:tc>
          <w:tcPr>
            <w:tcW w:w="284" w:type="dxa"/>
            <w:shd w:val="clear" w:color="auto" w:fill="FFFFFF" w:themeFill="background1"/>
          </w:tcPr>
          <w:p w14:paraId="79AD5643" w14:textId="77777777" w:rsidR="00166E07" w:rsidRPr="00C04296" w:rsidRDefault="00166E07" w:rsidP="00166E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9D33690" w14:textId="33900719" w:rsidR="00166E07" w:rsidRPr="00C04296" w:rsidRDefault="00112913" w:rsidP="00166E0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Coopesanramón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R.L</w:t>
            </w:r>
            <w:proofErr w:type="gramEnd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06E0ED49" w14:textId="1B5E2A5F" w:rsidR="00166E07" w:rsidRPr="00C04296" w:rsidRDefault="0030495C" w:rsidP="00166E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0</w:t>
            </w:r>
          </w:p>
        </w:tc>
      </w:tr>
      <w:tr w:rsidR="00166E07" w:rsidRPr="00C04296" w14:paraId="030C4ECA" w14:textId="77777777" w:rsidTr="0011268D">
        <w:trPr>
          <w:trHeight w:val="405"/>
          <w:jc w:val="center"/>
        </w:trPr>
        <w:tc>
          <w:tcPr>
            <w:tcW w:w="2840" w:type="dxa"/>
            <w:shd w:val="clear" w:color="auto" w:fill="auto"/>
            <w:noWrap/>
            <w:vAlign w:val="center"/>
          </w:tcPr>
          <w:p w14:paraId="5DBD9325" w14:textId="1A52CFDB" w:rsidR="00166E07" w:rsidRPr="00C04296" w:rsidRDefault="00166E07" w:rsidP="00166E0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r w:rsidRPr="00C04296"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Grupo Mutual Alajuela - la vivienda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4CC2D1D3" w14:textId="75FCC525" w:rsidR="00166E07" w:rsidRDefault="00166E07" w:rsidP="00166E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95</w:t>
            </w:r>
          </w:p>
        </w:tc>
        <w:tc>
          <w:tcPr>
            <w:tcW w:w="284" w:type="dxa"/>
            <w:shd w:val="clear" w:color="auto" w:fill="FFFFFF" w:themeFill="background1"/>
          </w:tcPr>
          <w:p w14:paraId="68F86E41" w14:textId="77777777" w:rsidR="00166E07" w:rsidRPr="00C04296" w:rsidRDefault="00166E07" w:rsidP="00166E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DAAB551" w14:textId="7795620A" w:rsidR="00166E07" w:rsidRPr="00C04296" w:rsidRDefault="0030495C" w:rsidP="00166E0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Asepanduit</w:t>
            </w:r>
            <w:proofErr w:type="spellEnd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38FAA803" w14:textId="292E0F69" w:rsidR="00166E07" w:rsidRDefault="00672555" w:rsidP="00166E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CR"/>
              </w:rPr>
              <w:t>67</w:t>
            </w:r>
          </w:p>
        </w:tc>
      </w:tr>
    </w:tbl>
    <w:p w14:paraId="5A6B8F61" w14:textId="77777777" w:rsidR="00A6052B" w:rsidRPr="00C04296" w:rsidRDefault="00A6052B" w:rsidP="00A6052B">
      <w:pPr>
        <w:spacing w:after="0" w:line="240" w:lineRule="auto"/>
        <w:rPr>
          <w:rFonts w:asciiTheme="minorHAnsi" w:eastAsia="Times New Roman" w:hAnsiTheme="minorHAnsi" w:cstheme="minorHAnsi"/>
          <w:b/>
          <w:smallCaps/>
          <w:sz w:val="22"/>
          <w:szCs w:val="23"/>
          <w:lang w:val="es-MX" w:eastAsia="es-ES"/>
        </w:rPr>
      </w:pPr>
    </w:p>
    <w:p w14:paraId="5F7B2F61" w14:textId="296C5D93" w:rsidR="00C04296" w:rsidRPr="00C04296" w:rsidRDefault="00C04296" w:rsidP="00B6674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</w:pPr>
      <w:r w:rsidRPr="00C04296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PI-06 “</w:t>
      </w:r>
      <w:r w:rsidRPr="00C04296">
        <w:rPr>
          <w:rFonts w:asciiTheme="minorHAnsi" w:eastAsia="Times New Roman" w:hAnsiTheme="minorHAnsi" w:cstheme="minorHAnsi"/>
          <w:i/>
          <w:iCs/>
          <w:sz w:val="22"/>
          <w:szCs w:val="23"/>
          <w:lang w:val="es-MX" w:eastAsia="es-ES"/>
        </w:rPr>
        <w:t>Atender oportunamente las recomendaciones de los órganos de control</w:t>
      </w:r>
      <w:r w:rsidRPr="00C04296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” obtuvo una calificación del </w:t>
      </w:r>
      <w:r w:rsidR="00F96163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33</w:t>
      </w:r>
      <w:r w:rsidRPr="00C04296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%, en virtud de que al corte de diciembre 20</w:t>
      </w:r>
      <w:r w:rsidR="0011088A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20</w:t>
      </w:r>
      <w:r w:rsidRPr="00C04296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 se registra</w:t>
      </w:r>
      <w:r w:rsidR="0011088A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ron</w:t>
      </w:r>
      <w:r w:rsidRPr="00C04296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 </w:t>
      </w:r>
      <w:r w:rsidR="00AD4A1B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389</w:t>
      </w:r>
      <w:r w:rsidRPr="00C04296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 recomendaciones, de las cuales 1</w:t>
      </w:r>
      <w:r w:rsidR="00AD4A1B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1</w:t>
      </w:r>
      <w:r w:rsidRPr="00C04296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5 se encuentran programadas o en proceso y 266 en estado incumplidas; </w:t>
      </w:r>
      <w:r w:rsidR="00F24683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la Gerencia indica que </w:t>
      </w:r>
      <w:r w:rsidR="0010339F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estas 389 recomendaciones incluyen las </w:t>
      </w:r>
      <w:r w:rsidR="005438FB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acciones de los planes de </w:t>
      </w:r>
      <w:r w:rsidR="00D27F06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SUGEF</w:t>
      </w:r>
      <w:r w:rsidR="005438FB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. </w:t>
      </w:r>
    </w:p>
    <w:p w14:paraId="13D5958D" w14:textId="77777777" w:rsidR="00C04296" w:rsidRPr="0070042A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val="es-MX" w:eastAsia="es-ES"/>
        </w:rPr>
      </w:pPr>
    </w:p>
    <w:p w14:paraId="4BEA9001" w14:textId="00D7DFE6" w:rsidR="00667EA8" w:rsidRDefault="003A7329" w:rsidP="00667EA8">
      <w:pPr>
        <w:ind w:left="426"/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</w:pPr>
      <w:r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Para mejorar </w:t>
      </w:r>
      <w:r w:rsidR="000F49FC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las debilidades</w:t>
      </w:r>
      <w:r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 de recomendaciones </w:t>
      </w:r>
      <w:r w:rsidR="00667EA8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la Gerencia estableció para el periodo 2020 y 2021 las siguientes actividades; </w:t>
      </w:r>
    </w:p>
    <w:p w14:paraId="4C01EF39" w14:textId="3FD43B0F" w:rsidR="00195840" w:rsidRPr="00195840" w:rsidRDefault="00195840" w:rsidP="00B66740">
      <w:pPr>
        <w:pStyle w:val="Prrafodelista"/>
        <w:numPr>
          <w:ilvl w:val="0"/>
          <w:numId w:val="11"/>
        </w:numPr>
        <w:spacing w:after="160" w:line="252" w:lineRule="auto"/>
        <w:jc w:val="both"/>
        <w:rPr>
          <w:rFonts w:asciiTheme="minorHAnsi" w:hAnsiTheme="minorHAnsi" w:cstheme="minorHAnsi"/>
          <w:sz w:val="22"/>
          <w:szCs w:val="23"/>
          <w:lang w:val="es-MX"/>
        </w:rPr>
      </w:pPr>
      <w:r w:rsidRPr="00195840">
        <w:rPr>
          <w:rFonts w:asciiTheme="minorHAnsi" w:hAnsiTheme="minorHAnsi" w:cstheme="minorHAnsi"/>
          <w:sz w:val="22"/>
          <w:szCs w:val="23"/>
          <w:lang w:val="es-MX"/>
        </w:rPr>
        <w:t>Se realizó una revisión del 100% de las recomendaciones tanto asignadas a la Gerencia como a las otras Unidades del Banco, que permitió:</w:t>
      </w:r>
    </w:p>
    <w:p w14:paraId="01433168" w14:textId="77777777" w:rsidR="00195840" w:rsidRPr="00195840" w:rsidRDefault="00195840" w:rsidP="00B66740">
      <w:pPr>
        <w:pStyle w:val="Prrafodelista"/>
        <w:numPr>
          <w:ilvl w:val="0"/>
          <w:numId w:val="12"/>
        </w:numPr>
        <w:spacing w:after="160" w:line="252" w:lineRule="auto"/>
        <w:jc w:val="both"/>
        <w:rPr>
          <w:rFonts w:asciiTheme="minorHAnsi" w:hAnsiTheme="minorHAnsi" w:cstheme="minorHAnsi"/>
          <w:sz w:val="22"/>
          <w:szCs w:val="23"/>
          <w:lang w:val="es-MX"/>
        </w:rPr>
      </w:pPr>
      <w:r w:rsidRPr="00195840">
        <w:rPr>
          <w:rFonts w:asciiTheme="minorHAnsi" w:hAnsiTheme="minorHAnsi" w:cstheme="minorHAnsi"/>
          <w:sz w:val="22"/>
          <w:szCs w:val="23"/>
          <w:lang w:val="es-MX"/>
        </w:rPr>
        <w:t>Realizar una clasificación</w:t>
      </w:r>
    </w:p>
    <w:p w14:paraId="09CB1224" w14:textId="77777777" w:rsidR="00195840" w:rsidRPr="00195840" w:rsidRDefault="00195840" w:rsidP="00B66740">
      <w:pPr>
        <w:pStyle w:val="Prrafodelista"/>
        <w:numPr>
          <w:ilvl w:val="0"/>
          <w:numId w:val="12"/>
        </w:numPr>
        <w:spacing w:after="160" w:line="252" w:lineRule="auto"/>
        <w:jc w:val="both"/>
        <w:rPr>
          <w:rFonts w:asciiTheme="minorHAnsi" w:hAnsiTheme="minorHAnsi" w:cstheme="minorHAnsi"/>
          <w:sz w:val="22"/>
          <w:szCs w:val="23"/>
          <w:lang w:val="es-MX"/>
        </w:rPr>
      </w:pPr>
      <w:r w:rsidRPr="00195840">
        <w:rPr>
          <w:rFonts w:asciiTheme="minorHAnsi" w:hAnsiTheme="minorHAnsi" w:cstheme="minorHAnsi"/>
          <w:sz w:val="22"/>
          <w:szCs w:val="23"/>
          <w:lang w:val="es-MX"/>
        </w:rPr>
        <w:t>Se les asignó un riesgo por parte de la Administración</w:t>
      </w:r>
    </w:p>
    <w:p w14:paraId="4E839AC3" w14:textId="77777777" w:rsidR="00195840" w:rsidRPr="00195840" w:rsidRDefault="00195840" w:rsidP="00B66740">
      <w:pPr>
        <w:pStyle w:val="Prrafodelista"/>
        <w:numPr>
          <w:ilvl w:val="0"/>
          <w:numId w:val="12"/>
        </w:numPr>
        <w:spacing w:after="160" w:line="252" w:lineRule="auto"/>
        <w:jc w:val="both"/>
        <w:rPr>
          <w:rFonts w:asciiTheme="minorHAnsi" w:hAnsiTheme="minorHAnsi" w:cstheme="minorHAnsi"/>
          <w:sz w:val="22"/>
          <w:szCs w:val="23"/>
          <w:lang w:val="es-MX"/>
        </w:rPr>
      </w:pPr>
      <w:r w:rsidRPr="00195840">
        <w:rPr>
          <w:rFonts w:asciiTheme="minorHAnsi" w:hAnsiTheme="minorHAnsi" w:cstheme="minorHAnsi"/>
          <w:sz w:val="22"/>
          <w:szCs w:val="23"/>
          <w:lang w:val="es-MX"/>
        </w:rPr>
        <w:t>Priorización para la atención</w:t>
      </w:r>
    </w:p>
    <w:p w14:paraId="29D50C36" w14:textId="77777777" w:rsidR="00195840" w:rsidRPr="00195840" w:rsidRDefault="00195840" w:rsidP="00B66740">
      <w:pPr>
        <w:pStyle w:val="Prrafodelista"/>
        <w:numPr>
          <w:ilvl w:val="0"/>
          <w:numId w:val="11"/>
        </w:numPr>
        <w:spacing w:after="160" w:line="252" w:lineRule="auto"/>
        <w:jc w:val="both"/>
        <w:rPr>
          <w:rFonts w:asciiTheme="minorHAnsi" w:hAnsiTheme="minorHAnsi" w:cstheme="minorHAnsi"/>
          <w:sz w:val="22"/>
          <w:szCs w:val="23"/>
          <w:lang w:val="es-MX"/>
        </w:rPr>
      </w:pPr>
      <w:r w:rsidRPr="00195840">
        <w:rPr>
          <w:rFonts w:asciiTheme="minorHAnsi" w:hAnsiTheme="minorHAnsi" w:cstheme="minorHAnsi"/>
          <w:sz w:val="22"/>
          <w:szCs w:val="23"/>
          <w:lang w:val="es-MX"/>
        </w:rPr>
        <w:t>Se están realizando sesiones de trabajo semanales con la Auditoria Interna para presentarles el avance semanal y el detalle de las recomendaciones gestionadas.</w:t>
      </w:r>
    </w:p>
    <w:p w14:paraId="6D423BD8" w14:textId="77777777" w:rsidR="00195840" w:rsidRPr="00195840" w:rsidRDefault="00195840" w:rsidP="00B66740">
      <w:pPr>
        <w:pStyle w:val="Prrafodelista"/>
        <w:numPr>
          <w:ilvl w:val="0"/>
          <w:numId w:val="11"/>
        </w:numPr>
        <w:spacing w:after="160" w:line="252" w:lineRule="auto"/>
        <w:jc w:val="both"/>
        <w:rPr>
          <w:rFonts w:asciiTheme="minorHAnsi" w:hAnsiTheme="minorHAnsi" w:cstheme="minorHAnsi"/>
          <w:sz w:val="22"/>
          <w:szCs w:val="23"/>
          <w:lang w:val="es-MX"/>
        </w:rPr>
      </w:pPr>
      <w:r w:rsidRPr="00195840">
        <w:rPr>
          <w:rFonts w:asciiTheme="minorHAnsi" w:hAnsiTheme="minorHAnsi" w:cstheme="minorHAnsi"/>
          <w:sz w:val="22"/>
          <w:szCs w:val="23"/>
          <w:lang w:val="es-MX"/>
        </w:rPr>
        <w:t>No existe un plan con plazos de atención, se está trabajando por avance semanal y ese fue el compromiso adquirido con el Comité de Auditoría y la Auditoría Interna.</w:t>
      </w:r>
    </w:p>
    <w:p w14:paraId="20FED192" w14:textId="77777777" w:rsidR="00195840" w:rsidRPr="00195840" w:rsidRDefault="00195840" w:rsidP="00B66740">
      <w:pPr>
        <w:pStyle w:val="Prrafodelista"/>
        <w:numPr>
          <w:ilvl w:val="0"/>
          <w:numId w:val="11"/>
        </w:numPr>
        <w:spacing w:after="160" w:line="252" w:lineRule="auto"/>
        <w:jc w:val="both"/>
        <w:rPr>
          <w:rFonts w:asciiTheme="minorHAnsi" w:hAnsiTheme="minorHAnsi" w:cstheme="minorHAnsi"/>
          <w:sz w:val="22"/>
          <w:szCs w:val="23"/>
          <w:lang w:val="es-MX"/>
        </w:rPr>
      </w:pPr>
      <w:r w:rsidRPr="00195840">
        <w:rPr>
          <w:rFonts w:asciiTheme="minorHAnsi" w:hAnsiTheme="minorHAnsi" w:cstheme="minorHAnsi"/>
          <w:sz w:val="22"/>
          <w:szCs w:val="23"/>
          <w:lang w:val="es-MX"/>
        </w:rPr>
        <w:t>Se han tramitado solicitudes a la Auditoría para la revisión de recomendaciones relacionadas con un mismo tema (duplicidad) para que prevalezca la más reciente y lograr depurar las recomendaciones que queden vigentes.</w:t>
      </w:r>
    </w:p>
    <w:p w14:paraId="6ABA8A81" w14:textId="77777777" w:rsidR="00195840" w:rsidRPr="00195840" w:rsidRDefault="00195840" w:rsidP="00B66740">
      <w:pPr>
        <w:pStyle w:val="Prrafodelista"/>
        <w:numPr>
          <w:ilvl w:val="0"/>
          <w:numId w:val="11"/>
        </w:numPr>
        <w:spacing w:after="160" w:line="252" w:lineRule="auto"/>
        <w:jc w:val="both"/>
        <w:rPr>
          <w:rFonts w:asciiTheme="minorHAnsi" w:hAnsiTheme="minorHAnsi" w:cstheme="minorHAnsi"/>
          <w:sz w:val="22"/>
          <w:szCs w:val="23"/>
          <w:lang w:val="es-MX"/>
        </w:rPr>
      </w:pPr>
      <w:r w:rsidRPr="00195840">
        <w:rPr>
          <w:rFonts w:asciiTheme="minorHAnsi" w:hAnsiTheme="minorHAnsi" w:cstheme="minorHAnsi"/>
          <w:sz w:val="22"/>
          <w:szCs w:val="23"/>
          <w:lang w:val="es-MX"/>
        </w:rPr>
        <w:t>Se han tramitado el cumplimiento de otras por falta de oportunidad.</w:t>
      </w:r>
    </w:p>
    <w:p w14:paraId="1160671C" w14:textId="77777777" w:rsidR="00195840" w:rsidRPr="00195840" w:rsidRDefault="00195840" w:rsidP="00B66740">
      <w:pPr>
        <w:pStyle w:val="Prrafodelista"/>
        <w:numPr>
          <w:ilvl w:val="0"/>
          <w:numId w:val="11"/>
        </w:numPr>
        <w:spacing w:after="160" w:line="252" w:lineRule="auto"/>
        <w:jc w:val="both"/>
        <w:rPr>
          <w:rFonts w:asciiTheme="minorHAnsi" w:hAnsiTheme="minorHAnsi" w:cstheme="minorHAnsi"/>
          <w:sz w:val="22"/>
          <w:szCs w:val="23"/>
          <w:lang w:val="es-MX"/>
        </w:rPr>
      </w:pPr>
      <w:r w:rsidRPr="00195840">
        <w:rPr>
          <w:rFonts w:asciiTheme="minorHAnsi" w:hAnsiTheme="minorHAnsi" w:cstheme="minorHAnsi"/>
          <w:sz w:val="22"/>
          <w:szCs w:val="23"/>
          <w:lang w:val="es-MX"/>
        </w:rPr>
        <w:t>Se ha realizado el traslado de recomendaciones para la atención de las unidades correspondientes.</w:t>
      </w:r>
    </w:p>
    <w:p w14:paraId="3A605465" w14:textId="77777777" w:rsidR="00195840" w:rsidRPr="00195840" w:rsidRDefault="00195840" w:rsidP="00B66740">
      <w:pPr>
        <w:pStyle w:val="Prrafodelista"/>
        <w:numPr>
          <w:ilvl w:val="0"/>
          <w:numId w:val="11"/>
        </w:numPr>
        <w:spacing w:after="160" w:line="252" w:lineRule="auto"/>
        <w:jc w:val="both"/>
        <w:rPr>
          <w:rFonts w:asciiTheme="minorHAnsi" w:hAnsiTheme="minorHAnsi" w:cstheme="minorHAnsi"/>
          <w:sz w:val="22"/>
          <w:szCs w:val="23"/>
          <w:lang w:val="es-MX"/>
        </w:rPr>
      </w:pPr>
      <w:r w:rsidRPr="00195840">
        <w:rPr>
          <w:rFonts w:asciiTheme="minorHAnsi" w:hAnsiTheme="minorHAnsi" w:cstheme="minorHAnsi"/>
          <w:sz w:val="22"/>
          <w:szCs w:val="23"/>
          <w:lang w:val="es-MX"/>
        </w:rPr>
        <w:t>Se está trabajando en el desarrollo de una herramienta tecnológica para el manejo, control y seguimiento de las recomendaciones de órganos de fiscalización y control, así como los acuerdos de Junta Directiva, la primera etapa del proyecto está para entrar en funcionamiento en junio 2021 y será con acuerdo de Junta Directiva, y posteriormente lo relacionado a recomendaciones, se estima que esté implementado todo el proyecto en el II semestre del 2021.</w:t>
      </w:r>
    </w:p>
    <w:p w14:paraId="0E1FC7D2" w14:textId="74416EE5" w:rsidR="00195840" w:rsidRDefault="00195840" w:rsidP="00C04296">
      <w:pPr>
        <w:spacing w:after="0" w:line="240" w:lineRule="auto"/>
        <w:rPr>
          <w:rFonts w:asciiTheme="minorHAnsi" w:eastAsia="Times New Roman" w:hAnsiTheme="minorHAnsi" w:cstheme="minorHAnsi"/>
          <w:sz w:val="14"/>
          <w:szCs w:val="14"/>
          <w:lang w:val="es-MX" w:eastAsia="es-ES"/>
        </w:rPr>
      </w:pPr>
    </w:p>
    <w:p w14:paraId="44EF4588" w14:textId="77777777" w:rsidR="002B798C" w:rsidRPr="00E22C64" w:rsidRDefault="00C04296" w:rsidP="00B6674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</w:pPr>
      <w:r w:rsidRPr="00E22C64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>PI-08 “</w:t>
      </w:r>
      <w:r w:rsidRPr="00E22C64">
        <w:rPr>
          <w:rFonts w:asciiTheme="minorHAnsi" w:eastAsia="Times New Roman" w:hAnsiTheme="minorHAnsi" w:cstheme="minorHAnsi"/>
          <w:i/>
          <w:iCs/>
          <w:sz w:val="22"/>
          <w:szCs w:val="23"/>
          <w:lang w:val="es-ES" w:eastAsia="es-ES"/>
        </w:rPr>
        <w:t>Lograr un mayor aprovechamiento de bienes en Fideicomisos</w:t>
      </w:r>
      <w:r w:rsidRPr="00E22C64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 xml:space="preserve">” obtuvo una calificación del </w:t>
      </w:r>
      <w:r w:rsidR="002D127D" w:rsidRPr="00E22C64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>0</w:t>
      </w:r>
      <w:r w:rsidRPr="00E22C64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>%</w:t>
      </w:r>
      <w:r w:rsidR="00886909" w:rsidRPr="00E22C64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>, e</w:t>
      </w:r>
      <w:r w:rsidRPr="00E22C64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 xml:space="preserve">l Departamento de Fideicomisos indica que no se logra la recuperación </w:t>
      </w:r>
      <w:r w:rsidR="0070042A" w:rsidRPr="00E22C64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>d</w:t>
      </w:r>
      <w:r w:rsidRPr="00E22C64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>el Proyecto Villas Paraíso Dorado</w:t>
      </w:r>
      <w:r w:rsidR="00F96163" w:rsidRPr="00E22C64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 xml:space="preserve">; </w:t>
      </w:r>
      <w:r w:rsidR="002B798C" w:rsidRPr="00E22C64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>debido que</w:t>
      </w:r>
      <w:r w:rsidR="007741D1" w:rsidRPr="00E22C64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 xml:space="preserve"> no se ejecutar actividades con el INVU y la Municipalidad de Alajuela. </w:t>
      </w:r>
    </w:p>
    <w:p w14:paraId="235D39B8" w14:textId="77777777" w:rsidR="002B798C" w:rsidRPr="00E22C64" w:rsidRDefault="002B798C" w:rsidP="002B798C">
      <w:pPr>
        <w:spacing w:after="0" w:line="240" w:lineRule="auto"/>
        <w:ind w:left="426"/>
        <w:contextualSpacing/>
        <w:jc w:val="both"/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</w:pPr>
    </w:p>
    <w:p w14:paraId="2433B2CB" w14:textId="50A196F0" w:rsidR="00C04296" w:rsidRPr="00E22C64" w:rsidRDefault="007741D1" w:rsidP="002B798C">
      <w:pPr>
        <w:spacing w:after="0" w:line="240" w:lineRule="auto"/>
        <w:ind w:left="426"/>
        <w:contextualSpacing/>
        <w:jc w:val="both"/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</w:pPr>
      <w:r w:rsidRPr="00E22C64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 xml:space="preserve">No obstante, </w:t>
      </w:r>
      <w:r w:rsidR="00F96163" w:rsidRPr="00E22C64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 xml:space="preserve">se </w:t>
      </w:r>
      <w:r w:rsidR="00A023F1" w:rsidRPr="00E22C64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>coordinó</w:t>
      </w:r>
      <w:r w:rsidR="00F96163" w:rsidRPr="00E22C64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 xml:space="preserve"> un plan de trabajo con la CGR </w:t>
      </w:r>
      <w:r w:rsidRPr="00E22C64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 xml:space="preserve">para poder </w:t>
      </w:r>
      <w:r w:rsidR="00A023F1" w:rsidRPr="00E22C64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>subsanar</w:t>
      </w:r>
      <w:r w:rsidRPr="00E22C64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 xml:space="preserve"> esta situación</w:t>
      </w:r>
      <w:r w:rsidR="00CB3B8D" w:rsidRPr="00E22C64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 xml:space="preserve"> en el periodo 2021</w:t>
      </w:r>
      <w:r w:rsidR="00DE5F8A" w:rsidRPr="00E22C64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 xml:space="preserve">, las cuales son: </w:t>
      </w:r>
      <w:r w:rsidRPr="00E22C64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 xml:space="preserve"> </w:t>
      </w:r>
      <w:r w:rsidR="00C04296" w:rsidRPr="00E22C64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 xml:space="preserve"> </w:t>
      </w:r>
    </w:p>
    <w:p w14:paraId="6E5EE3F8" w14:textId="77777777" w:rsidR="00C04296" w:rsidRPr="00C04296" w:rsidRDefault="00C04296" w:rsidP="00C04296">
      <w:pPr>
        <w:spacing w:after="0" w:line="240" w:lineRule="auto"/>
        <w:ind w:left="426"/>
        <w:contextualSpacing/>
        <w:jc w:val="both"/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</w:pPr>
      <w:r w:rsidRPr="00C04296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 xml:space="preserve"> </w:t>
      </w:r>
    </w:p>
    <w:p w14:paraId="495C9336" w14:textId="7C2DBEA0" w:rsidR="00C04296" w:rsidRDefault="002B1F05" w:rsidP="00B66740">
      <w:pPr>
        <w:numPr>
          <w:ilvl w:val="1"/>
          <w:numId w:val="3"/>
        </w:numPr>
        <w:spacing w:after="0" w:line="240" w:lineRule="auto"/>
        <w:ind w:left="851"/>
        <w:contextualSpacing/>
        <w:jc w:val="both"/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</w:pPr>
      <w:r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lastRenderedPageBreak/>
        <w:t>Contratar levantamiento topográfico de la situación actual del proyecto y elaboración del nuevo plan diseño de sitio</w:t>
      </w:r>
    </w:p>
    <w:p w14:paraId="01F6EDC0" w14:textId="5DAB4A45" w:rsidR="002B1F05" w:rsidRDefault="00F537D8" w:rsidP="00B66740">
      <w:pPr>
        <w:numPr>
          <w:ilvl w:val="1"/>
          <w:numId w:val="3"/>
        </w:numPr>
        <w:spacing w:after="0" w:line="240" w:lineRule="auto"/>
        <w:ind w:left="851"/>
        <w:contextualSpacing/>
        <w:jc w:val="both"/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</w:pPr>
      <w:r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>Revisión</w:t>
      </w:r>
      <w:r w:rsidR="002B1F05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 xml:space="preserve"> por parte Municipalidad y aprobación por parte Consejo Municipal</w:t>
      </w:r>
    </w:p>
    <w:p w14:paraId="4DB2D238" w14:textId="35015D0D" w:rsidR="002B1F05" w:rsidRDefault="002B1F05" w:rsidP="00B66740">
      <w:pPr>
        <w:numPr>
          <w:ilvl w:val="1"/>
          <w:numId w:val="3"/>
        </w:numPr>
        <w:spacing w:after="0" w:line="240" w:lineRule="auto"/>
        <w:ind w:left="851"/>
        <w:contextualSpacing/>
        <w:jc w:val="both"/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</w:pPr>
      <w:r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 xml:space="preserve">Contratar elaboración de planos individuales y áreas públicas. </w:t>
      </w:r>
    </w:p>
    <w:p w14:paraId="105B7A4B" w14:textId="2195A138" w:rsidR="002B1F05" w:rsidRPr="00C04296" w:rsidRDefault="002B1F05" w:rsidP="00B66740">
      <w:pPr>
        <w:numPr>
          <w:ilvl w:val="1"/>
          <w:numId w:val="3"/>
        </w:numPr>
        <w:spacing w:after="0" w:line="240" w:lineRule="auto"/>
        <w:ind w:left="851"/>
        <w:contextualSpacing/>
        <w:jc w:val="both"/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</w:pPr>
      <w:r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 xml:space="preserve">Segregar de finca madre lotes residenciales y áreas públicas. </w:t>
      </w:r>
    </w:p>
    <w:p w14:paraId="2AA569F9" w14:textId="77777777" w:rsidR="00C04296" w:rsidRPr="00C04296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</w:pPr>
    </w:p>
    <w:p w14:paraId="294D3D30" w14:textId="0932713F" w:rsidR="00B735D3" w:rsidRPr="00317D80" w:rsidRDefault="00C04296" w:rsidP="00317D8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sz w:val="22"/>
          <w:lang w:val="es-MX" w:eastAsia="es-ES"/>
        </w:rPr>
      </w:pPr>
      <w:r w:rsidRPr="00B735D3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PI-09 “</w:t>
      </w:r>
      <w:r w:rsidRPr="00B735D3">
        <w:rPr>
          <w:rFonts w:asciiTheme="minorHAnsi" w:eastAsia="Times New Roman" w:hAnsiTheme="minorHAnsi" w:cstheme="minorHAnsi"/>
          <w:i/>
          <w:iCs/>
          <w:sz w:val="22"/>
          <w:szCs w:val="23"/>
          <w:lang w:val="es-MX" w:eastAsia="es-ES"/>
        </w:rPr>
        <w:t>Mejorar el Ordenamiento Administrativo</w:t>
      </w:r>
      <w:r w:rsidRPr="00B735D3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”</w:t>
      </w:r>
      <w:r w:rsidR="00D27F06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. </w:t>
      </w:r>
      <w:r w:rsidR="00D27F06" w:rsidRPr="00D27F06">
        <w:rPr>
          <w:rFonts w:asciiTheme="minorHAnsi" w:hAnsiTheme="minorHAnsi" w:cs="TimesNewRoman"/>
          <w:sz w:val="22"/>
          <w:lang w:eastAsia="es-CR"/>
        </w:rPr>
        <w:t xml:space="preserve">Debido a la situación sanitaria en el país por el COVID-19, se procedió a suspender la contratación de los servicios profesionales de consultoría para el desarrollo de un estudio de </w:t>
      </w:r>
      <w:r w:rsidR="00317D80" w:rsidRPr="00D27F06">
        <w:rPr>
          <w:rFonts w:asciiTheme="minorHAnsi" w:hAnsiTheme="minorHAnsi" w:cs="TimesNewRoman"/>
          <w:sz w:val="22"/>
          <w:lang w:eastAsia="es-CR"/>
        </w:rPr>
        <w:t>diagnóstico</w:t>
      </w:r>
      <w:r w:rsidR="00D27F06" w:rsidRPr="00D27F06">
        <w:rPr>
          <w:rFonts w:asciiTheme="minorHAnsi" w:hAnsiTheme="minorHAnsi" w:cs="TimesNewRoman"/>
          <w:sz w:val="22"/>
          <w:lang w:eastAsia="es-CR"/>
        </w:rPr>
        <w:t xml:space="preserve"> SFNV, formulación del PEI y plan de modernización y fortalecimiento organizacional, esto quedo en acuerdo No. 1 de la sesión 74-2020. </w:t>
      </w:r>
      <w:r w:rsidR="00317D80">
        <w:rPr>
          <w:rFonts w:asciiTheme="minorHAnsi" w:eastAsia="Times New Roman" w:hAnsiTheme="minorHAnsi" w:cstheme="minorHAnsi"/>
          <w:sz w:val="22"/>
          <w:lang w:val="es-MX" w:eastAsia="es-ES"/>
        </w:rPr>
        <w:t xml:space="preserve"> </w:t>
      </w:r>
      <w:r w:rsidR="00D27F06" w:rsidRPr="00317D80">
        <w:rPr>
          <w:rFonts w:asciiTheme="minorHAnsi" w:hAnsiTheme="minorHAnsi" w:cs="TimesNewRoman"/>
          <w:sz w:val="22"/>
          <w:lang w:eastAsia="es-CR"/>
        </w:rPr>
        <w:t>La valoración y alcance de este proyecto será retomado por parte de la Administración y Junta Directiva, en el periodo 2021.</w:t>
      </w:r>
    </w:p>
    <w:p w14:paraId="15F6D1D4" w14:textId="38DC656B" w:rsidR="0097722A" w:rsidRDefault="0097722A" w:rsidP="00B735D3">
      <w:pPr>
        <w:spacing w:after="0" w:line="240" w:lineRule="auto"/>
        <w:ind w:left="426"/>
        <w:contextualSpacing/>
        <w:jc w:val="both"/>
        <w:rPr>
          <w:rFonts w:asciiTheme="minorHAnsi" w:eastAsia="Times New Roman" w:hAnsiTheme="minorHAnsi" w:cstheme="minorHAnsi"/>
          <w:sz w:val="22"/>
          <w:lang w:val="es-MX" w:eastAsia="es-ES"/>
        </w:rPr>
      </w:pPr>
    </w:p>
    <w:p w14:paraId="744DA11A" w14:textId="3353AC9C" w:rsidR="00C04296" w:rsidRPr="00C04296" w:rsidRDefault="00C04296" w:rsidP="00B6674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</w:pPr>
      <w:r w:rsidRPr="00C04296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PI-10 “</w:t>
      </w:r>
      <w:r w:rsidRPr="00C04296">
        <w:rPr>
          <w:rFonts w:asciiTheme="minorHAnsi" w:eastAsia="Times New Roman" w:hAnsiTheme="minorHAnsi" w:cstheme="minorHAnsi"/>
          <w:i/>
          <w:sz w:val="22"/>
          <w:szCs w:val="23"/>
          <w:lang w:val="es-MX" w:eastAsia="es-ES"/>
        </w:rPr>
        <w:t>Simplificar los trámites en el BANHVI y Entidades Autorizadas en lo relacionado al proceso de aprobación de bonos familiares de vivienda y bonos comunales</w:t>
      </w:r>
      <w:r w:rsidRPr="00C04296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” obtuvo una calificación del </w:t>
      </w:r>
      <w:r w:rsidR="002864B3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0</w:t>
      </w:r>
      <w:r w:rsidRPr="00C04296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%, </w:t>
      </w:r>
      <w:r w:rsidR="00604A93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se conformó un equipo de trabajo </w:t>
      </w:r>
      <w:r w:rsidR="00B94820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del cual se están capacitando para establecer los análisis en procesos </w:t>
      </w:r>
      <w:r w:rsidR="00E77FBF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y determinar</w:t>
      </w:r>
      <w:r w:rsidR="00780DB3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 la vía simplificación de tramites del Banco. </w:t>
      </w:r>
    </w:p>
    <w:p w14:paraId="2F234DFE" w14:textId="69B0A5C8" w:rsidR="00C04296" w:rsidRDefault="00C04296" w:rsidP="0070042A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</w:pPr>
    </w:p>
    <w:p w14:paraId="38D4CFB6" w14:textId="57313BBA" w:rsidR="002864B3" w:rsidRDefault="002864B3" w:rsidP="0070042A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</w:pPr>
    </w:p>
    <w:p w14:paraId="7873C5F6" w14:textId="77777777" w:rsidR="00C04296" w:rsidRPr="00C04296" w:rsidRDefault="00C04296" w:rsidP="00B66740">
      <w:pPr>
        <w:numPr>
          <w:ilvl w:val="1"/>
          <w:numId w:val="9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smallCaps/>
          <w:sz w:val="26"/>
          <w:szCs w:val="26"/>
          <w:lang w:eastAsia="es-ES"/>
        </w:rPr>
      </w:pPr>
      <w:r w:rsidRPr="00C04296">
        <w:rPr>
          <w:rFonts w:asciiTheme="minorHAnsi" w:eastAsia="Times New Roman" w:hAnsiTheme="minorHAnsi" w:cstheme="minorHAnsi"/>
          <w:b/>
          <w:smallCaps/>
          <w:sz w:val="26"/>
          <w:szCs w:val="26"/>
          <w:lang w:eastAsia="es-ES"/>
        </w:rPr>
        <w:t xml:space="preserve"> Perspectiva Grupo de interés </w:t>
      </w:r>
    </w:p>
    <w:p w14:paraId="0C7E7385" w14:textId="77777777" w:rsidR="00C04296" w:rsidRPr="00F9202B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val="es-MX" w:eastAsia="es-ES"/>
        </w:rPr>
      </w:pPr>
      <w:r w:rsidRPr="00F9202B">
        <w:rPr>
          <w:rFonts w:asciiTheme="minorHAnsi" w:eastAsia="Times New Roman" w:hAnsiTheme="minorHAnsi" w:cstheme="minorHAnsi"/>
          <w:sz w:val="22"/>
          <w:lang w:val="es-MX" w:eastAsia="es-ES"/>
        </w:rPr>
        <w:t xml:space="preserve"> </w:t>
      </w:r>
    </w:p>
    <w:p w14:paraId="6A226040" w14:textId="7B48E113" w:rsidR="00C04296" w:rsidRPr="00C04296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</w:pPr>
      <w:r w:rsidRPr="00C04296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La calificación obtenida de esta perspectiva conformada por la ejecución de sus dos objetivos estratégicos (G-01 y G-02) fue de un </w:t>
      </w:r>
      <w:r w:rsidR="00561FE0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93</w:t>
      </w:r>
      <w:r w:rsidRPr="00C04296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%. El detalle en el siguiente cuadro: </w:t>
      </w:r>
    </w:p>
    <w:p w14:paraId="43D35429" w14:textId="77777777" w:rsidR="00C04296" w:rsidRPr="00F9202B" w:rsidRDefault="00C04296" w:rsidP="00C042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mallCaps/>
          <w:sz w:val="22"/>
          <w:lang w:val="es-MX" w:eastAsia="es-ES"/>
        </w:rPr>
      </w:pPr>
    </w:p>
    <w:p w14:paraId="1D508BBA" w14:textId="779B4F8A" w:rsidR="00C04296" w:rsidRPr="00C04296" w:rsidRDefault="00C04296" w:rsidP="00C042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mallCaps/>
          <w:sz w:val="22"/>
          <w:szCs w:val="23"/>
          <w:lang w:val="es-MX" w:eastAsia="es-ES"/>
        </w:rPr>
      </w:pPr>
      <w:r w:rsidRPr="00C04296">
        <w:rPr>
          <w:rFonts w:asciiTheme="minorHAnsi" w:eastAsia="Times New Roman" w:hAnsiTheme="minorHAnsi" w:cstheme="minorHAnsi"/>
          <w:b/>
          <w:smallCaps/>
          <w:sz w:val="22"/>
          <w:szCs w:val="23"/>
          <w:lang w:val="es-MX" w:eastAsia="es-ES"/>
        </w:rPr>
        <w:t xml:space="preserve">Cuadro </w:t>
      </w:r>
      <w:r w:rsidR="008B6B68">
        <w:rPr>
          <w:rFonts w:asciiTheme="minorHAnsi" w:eastAsia="Times New Roman" w:hAnsiTheme="minorHAnsi" w:cstheme="minorHAnsi"/>
          <w:b/>
          <w:smallCaps/>
          <w:sz w:val="22"/>
          <w:szCs w:val="23"/>
          <w:lang w:val="es-MX" w:eastAsia="es-ES"/>
        </w:rPr>
        <w:t>8</w:t>
      </w:r>
    </w:p>
    <w:p w14:paraId="360D2873" w14:textId="77777777" w:rsidR="00C04296" w:rsidRPr="00C04296" w:rsidRDefault="00C04296" w:rsidP="00C042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mallCaps/>
          <w:sz w:val="22"/>
          <w:szCs w:val="23"/>
          <w:lang w:val="es-MX" w:eastAsia="es-ES"/>
        </w:rPr>
      </w:pPr>
      <w:r w:rsidRPr="00C04296">
        <w:rPr>
          <w:rFonts w:asciiTheme="minorHAnsi" w:eastAsia="Times New Roman" w:hAnsiTheme="minorHAnsi" w:cstheme="minorHAnsi"/>
          <w:b/>
          <w:smallCaps/>
          <w:sz w:val="22"/>
          <w:szCs w:val="23"/>
          <w:lang w:val="es-MX" w:eastAsia="es-ES"/>
        </w:rPr>
        <w:t>Composición de la Perspectiva</w:t>
      </w:r>
    </w:p>
    <w:p w14:paraId="31D5A15D" w14:textId="77777777" w:rsidR="00C04296" w:rsidRPr="00C04296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10"/>
          <w:szCs w:val="10"/>
          <w:lang w:val="es-MX" w:eastAsia="es-ES"/>
        </w:rPr>
      </w:pP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435"/>
        <w:gridCol w:w="1250"/>
        <w:gridCol w:w="1200"/>
        <w:gridCol w:w="1179"/>
      </w:tblGrid>
      <w:tr w:rsidR="00EA1838" w:rsidRPr="00C04296" w14:paraId="28CA7AE5" w14:textId="77777777" w:rsidTr="007D7FF5">
        <w:trPr>
          <w:trHeight w:val="517"/>
          <w:tblHeader/>
          <w:jc w:val="center"/>
        </w:trPr>
        <w:tc>
          <w:tcPr>
            <w:tcW w:w="3114" w:type="dxa"/>
            <w:vMerge w:val="restart"/>
            <w:shd w:val="clear" w:color="000000" w:fill="B8CCE4"/>
            <w:vAlign w:val="center"/>
            <w:hideMark/>
          </w:tcPr>
          <w:p w14:paraId="6B9C419A" w14:textId="77777777" w:rsidR="00EA1838" w:rsidRPr="00C04296" w:rsidRDefault="00EA1838" w:rsidP="00C04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lang w:eastAsia="es-CR"/>
              </w:rPr>
            </w:pPr>
            <w:r w:rsidRPr="00C04296">
              <w:rPr>
                <w:rFonts w:ascii="Calibri" w:eastAsia="Times New Roman" w:hAnsi="Calibri" w:cs="Times New Roman"/>
                <w:b/>
                <w:bCs/>
                <w:sz w:val="22"/>
                <w:lang w:eastAsia="es-CR"/>
              </w:rPr>
              <w:t>Objetivo Estratégico</w:t>
            </w:r>
          </w:p>
        </w:tc>
        <w:tc>
          <w:tcPr>
            <w:tcW w:w="2435" w:type="dxa"/>
            <w:vMerge w:val="restart"/>
            <w:shd w:val="clear" w:color="000000" w:fill="B8CCE4"/>
            <w:vAlign w:val="center"/>
            <w:hideMark/>
          </w:tcPr>
          <w:p w14:paraId="648DA276" w14:textId="77777777" w:rsidR="00EA1838" w:rsidRPr="00C04296" w:rsidRDefault="00EA1838" w:rsidP="00C04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lang w:eastAsia="es-CR"/>
              </w:rPr>
            </w:pPr>
            <w:r w:rsidRPr="00C04296">
              <w:rPr>
                <w:rFonts w:ascii="Calibri" w:eastAsia="Times New Roman" w:hAnsi="Calibri" w:cs="Times New Roman"/>
                <w:b/>
                <w:bCs/>
                <w:sz w:val="22"/>
                <w:lang w:eastAsia="es-CR"/>
              </w:rPr>
              <w:t>Indicador</w:t>
            </w:r>
          </w:p>
        </w:tc>
        <w:tc>
          <w:tcPr>
            <w:tcW w:w="1250" w:type="dxa"/>
            <w:vMerge w:val="restart"/>
            <w:shd w:val="clear" w:color="000000" w:fill="B8CCE4"/>
            <w:vAlign w:val="center"/>
            <w:hideMark/>
          </w:tcPr>
          <w:p w14:paraId="289E69E7" w14:textId="517D9413" w:rsidR="00EA1838" w:rsidRPr="00C04296" w:rsidRDefault="00EA1838" w:rsidP="00C04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lang w:eastAsia="es-CR"/>
              </w:rPr>
            </w:pPr>
            <w:r w:rsidRPr="00C04296">
              <w:rPr>
                <w:rFonts w:ascii="Calibri" w:eastAsia="Times New Roman" w:hAnsi="Calibri" w:cs="Times New Roman"/>
                <w:b/>
                <w:bCs/>
                <w:sz w:val="22"/>
                <w:lang w:eastAsia="es-CR"/>
              </w:rPr>
              <w:t>Meta 20</w:t>
            </w:r>
            <w:r w:rsidR="007D7FF5">
              <w:rPr>
                <w:rFonts w:ascii="Calibri" w:eastAsia="Times New Roman" w:hAnsi="Calibri" w:cs="Times New Roman"/>
                <w:b/>
                <w:bCs/>
                <w:sz w:val="22"/>
                <w:lang w:eastAsia="es-CR"/>
              </w:rPr>
              <w:t>20</w:t>
            </w:r>
          </w:p>
        </w:tc>
        <w:tc>
          <w:tcPr>
            <w:tcW w:w="1200" w:type="dxa"/>
            <w:vMerge w:val="restart"/>
            <w:shd w:val="clear" w:color="000000" w:fill="B8CCE4"/>
            <w:vAlign w:val="center"/>
            <w:hideMark/>
          </w:tcPr>
          <w:p w14:paraId="60517F02" w14:textId="2F538691" w:rsidR="00EA1838" w:rsidRPr="00C04296" w:rsidRDefault="00EA1838" w:rsidP="00C04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lang w:eastAsia="es-CR"/>
              </w:rPr>
            </w:pPr>
            <w:r w:rsidRPr="00C04296">
              <w:rPr>
                <w:rFonts w:ascii="Calibri" w:eastAsia="Times New Roman" w:hAnsi="Calibri" w:cs="Times New Roman"/>
                <w:b/>
                <w:bCs/>
                <w:sz w:val="22"/>
                <w:lang w:eastAsia="es-CR"/>
              </w:rPr>
              <w:t>Resultado</w:t>
            </w:r>
          </w:p>
        </w:tc>
        <w:tc>
          <w:tcPr>
            <w:tcW w:w="1179" w:type="dxa"/>
            <w:vMerge w:val="restart"/>
            <w:shd w:val="clear" w:color="000000" w:fill="B8CCE4"/>
            <w:vAlign w:val="center"/>
            <w:hideMark/>
          </w:tcPr>
          <w:p w14:paraId="3182637E" w14:textId="325E22BF" w:rsidR="00EA1838" w:rsidRPr="00C04296" w:rsidRDefault="00EA1838" w:rsidP="00C04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lang w:eastAsia="es-CR"/>
              </w:rPr>
            </w:pPr>
            <w:r w:rsidRPr="00C04296">
              <w:rPr>
                <w:rFonts w:ascii="Calibri" w:eastAsia="Times New Roman" w:hAnsi="Calibri" w:cs="Times New Roman"/>
                <w:b/>
                <w:bCs/>
                <w:sz w:val="22"/>
                <w:lang w:eastAsia="es-CR"/>
              </w:rPr>
              <w:t>Puntuación</w:t>
            </w:r>
          </w:p>
        </w:tc>
      </w:tr>
      <w:tr w:rsidR="00EA1838" w:rsidRPr="00C04296" w14:paraId="4663BDE6" w14:textId="77777777" w:rsidTr="009C3450">
        <w:trPr>
          <w:trHeight w:val="517"/>
          <w:tblHeader/>
          <w:jc w:val="center"/>
        </w:trPr>
        <w:tc>
          <w:tcPr>
            <w:tcW w:w="3114" w:type="dxa"/>
            <w:vMerge/>
            <w:vAlign w:val="center"/>
            <w:hideMark/>
          </w:tcPr>
          <w:p w14:paraId="7AD959A9" w14:textId="77777777" w:rsidR="00EA1838" w:rsidRPr="00C04296" w:rsidRDefault="00EA1838" w:rsidP="00C042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lang w:eastAsia="es-CR"/>
              </w:rPr>
            </w:pPr>
          </w:p>
        </w:tc>
        <w:tc>
          <w:tcPr>
            <w:tcW w:w="2435" w:type="dxa"/>
            <w:vMerge/>
            <w:vAlign w:val="center"/>
            <w:hideMark/>
          </w:tcPr>
          <w:p w14:paraId="7F51AA9E" w14:textId="77777777" w:rsidR="00EA1838" w:rsidRPr="00C04296" w:rsidRDefault="00EA1838" w:rsidP="00C042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lang w:eastAsia="es-CR"/>
              </w:rPr>
            </w:pPr>
          </w:p>
        </w:tc>
        <w:tc>
          <w:tcPr>
            <w:tcW w:w="1250" w:type="dxa"/>
            <w:vMerge/>
            <w:vAlign w:val="center"/>
            <w:hideMark/>
          </w:tcPr>
          <w:p w14:paraId="7B0B63E9" w14:textId="77777777" w:rsidR="00EA1838" w:rsidRPr="00C04296" w:rsidRDefault="00EA1838" w:rsidP="00C042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14:paraId="7F04CCDD" w14:textId="77777777" w:rsidR="00EA1838" w:rsidRPr="00C04296" w:rsidRDefault="00EA1838" w:rsidP="00C042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14:paraId="763437C9" w14:textId="77777777" w:rsidR="00EA1838" w:rsidRPr="00C04296" w:rsidRDefault="00EA1838" w:rsidP="00C042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R"/>
              </w:rPr>
            </w:pPr>
          </w:p>
        </w:tc>
      </w:tr>
      <w:tr w:rsidR="00EA1838" w:rsidRPr="00C04296" w14:paraId="0310FC10" w14:textId="77777777" w:rsidTr="007D7FF5">
        <w:trPr>
          <w:trHeight w:val="716"/>
          <w:jc w:val="center"/>
        </w:trPr>
        <w:tc>
          <w:tcPr>
            <w:tcW w:w="3114" w:type="dxa"/>
            <w:shd w:val="clear" w:color="000000" w:fill="FFFFFF"/>
            <w:hideMark/>
          </w:tcPr>
          <w:p w14:paraId="7B790A80" w14:textId="77777777" w:rsidR="00EA1838" w:rsidRPr="00667DA7" w:rsidRDefault="00EA1838" w:rsidP="00C042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</w:pPr>
            <w:r w:rsidRPr="00667DA7">
              <w:rPr>
                <w:rFonts w:ascii="Calibri" w:eastAsia="Times New Roman" w:hAnsi="Calibri" w:cs="Times New Roman"/>
                <w:sz w:val="22"/>
                <w:lang w:eastAsia="es-CR"/>
              </w:rPr>
              <w:t xml:space="preserve">G-01 </w:t>
            </w:r>
            <w:r w:rsidRPr="00667DA7"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  <w:t>Mejorar el grado de satisfacción de los beneficiarios finales</w:t>
            </w:r>
          </w:p>
        </w:tc>
        <w:tc>
          <w:tcPr>
            <w:tcW w:w="2435" w:type="dxa"/>
            <w:shd w:val="clear" w:color="000000" w:fill="FFFFFF"/>
            <w:hideMark/>
          </w:tcPr>
          <w:p w14:paraId="6D94CA8E" w14:textId="77777777" w:rsidR="00EA1838" w:rsidRPr="00C04296" w:rsidRDefault="00EA1838" w:rsidP="00C04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R"/>
              </w:rPr>
            </w:pPr>
            <w:r w:rsidRPr="00C042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R"/>
              </w:rPr>
              <w:t>Resultado de encuesta de satisfacción de los beneficiarios finales</w:t>
            </w:r>
          </w:p>
        </w:tc>
        <w:tc>
          <w:tcPr>
            <w:tcW w:w="1250" w:type="dxa"/>
            <w:shd w:val="clear" w:color="auto" w:fill="auto"/>
          </w:tcPr>
          <w:p w14:paraId="002BA5BF" w14:textId="6E00F524" w:rsidR="00EA1838" w:rsidRPr="00C04296" w:rsidRDefault="00C86C26" w:rsidP="00C04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  <w:t>100</w:t>
            </w:r>
            <w:r w:rsidR="00EA1838" w:rsidRPr="00C04296"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  <w:t>%</w:t>
            </w:r>
          </w:p>
        </w:tc>
        <w:tc>
          <w:tcPr>
            <w:tcW w:w="1200" w:type="dxa"/>
            <w:shd w:val="clear" w:color="auto" w:fill="auto"/>
          </w:tcPr>
          <w:p w14:paraId="2582431D" w14:textId="32372E0F" w:rsidR="00EA1838" w:rsidRPr="00683EAA" w:rsidRDefault="00EA1838" w:rsidP="00C04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</w:pPr>
            <w:r w:rsidRPr="00683EAA"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  <w:t>9</w:t>
            </w:r>
            <w:r w:rsidR="00C86C26"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  <w:t>3</w:t>
            </w:r>
            <w:r w:rsidRPr="00683EAA"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  <w:t>%</w:t>
            </w:r>
          </w:p>
        </w:tc>
        <w:tc>
          <w:tcPr>
            <w:tcW w:w="1179" w:type="dxa"/>
            <w:shd w:val="clear" w:color="auto" w:fill="auto"/>
          </w:tcPr>
          <w:p w14:paraId="11558841" w14:textId="047C8160" w:rsidR="00EA1838" w:rsidRPr="00683EAA" w:rsidRDefault="00C86C26" w:rsidP="00C04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0"/>
                <w:lang w:eastAsia="es-CR"/>
              </w:rPr>
            </w:pPr>
            <w:r>
              <w:rPr>
                <w:rFonts w:ascii="Calibri" w:eastAsia="Times New Roman" w:hAnsi="Calibri" w:cs="Times New Roman"/>
                <w:sz w:val="22"/>
                <w:szCs w:val="20"/>
                <w:lang w:eastAsia="es-CR"/>
              </w:rPr>
              <w:t>93</w:t>
            </w:r>
            <w:r w:rsidR="00EA1838" w:rsidRPr="00683EAA">
              <w:rPr>
                <w:rFonts w:ascii="Calibri" w:eastAsia="Times New Roman" w:hAnsi="Calibri" w:cs="Times New Roman"/>
                <w:sz w:val="22"/>
                <w:szCs w:val="20"/>
                <w:lang w:eastAsia="es-CR"/>
              </w:rPr>
              <w:t>%</w:t>
            </w:r>
          </w:p>
        </w:tc>
      </w:tr>
      <w:tr w:rsidR="00683EAA" w:rsidRPr="00C04296" w14:paraId="5C410CE2" w14:textId="77777777" w:rsidTr="00571290">
        <w:trPr>
          <w:trHeight w:val="776"/>
          <w:jc w:val="center"/>
        </w:trPr>
        <w:tc>
          <w:tcPr>
            <w:tcW w:w="3114" w:type="dxa"/>
            <w:shd w:val="clear" w:color="000000" w:fill="FFFFFF"/>
          </w:tcPr>
          <w:p w14:paraId="3DA2A271" w14:textId="77777777" w:rsidR="00683EAA" w:rsidRPr="00667DA7" w:rsidRDefault="00683EAA" w:rsidP="00C042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</w:pPr>
            <w:r w:rsidRPr="00667DA7">
              <w:rPr>
                <w:rFonts w:ascii="Calibri" w:eastAsia="Times New Roman" w:hAnsi="Calibri" w:cs="Times New Roman"/>
                <w:sz w:val="22"/>
                <w:lang w:eastAsia="es-CR"/>
              </w:rPr>
              <w:t xml:space="preserve">G-02 </w:t>
            </w:r>
            <w:r w:rsidRPr="00667DA7"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  <w:t>Mejorar la percepción del BANHVI ante las Entidades Autorizadas</w:t>
            </w:r>
          </w:p>
        </w:tc>
        <w:tc>
          <w:tcPr>
            <w:tcW w:w="2435" w:type="dxa"/>
            <w:shd w:val="clear" w:color="000000" w:fill="FFFFFF"/>
          </w:tcPr>
          <w:p w14:paraId="233E9E79" w14:textId="77777777" w:rsidR="00683EAA" w:rsidRPr="00C04296" w:rsidRDefault="00683EAA" w:rsidP="00C04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R"/>
              </w:rPr>
            </w:pPr>
            <w:r w:rsidRPr="00C042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R"/>
              </w:rPr>
              <w:t>Porcentaje de entidades autorizadas que califican al BANHVI con nota mayor a 75%</w:t>
            </w:r>
          </w:p>
        </w:tc>
        <w:tc>
          <w:tcPr>
            <w:tcW w:w="1250" w:type="dxa"/>
            <w:shd w:val="clear" w:color="auto" w:fill="auto"/>
          </w:tcPr>
          <w:p w14:paraId="34525522" w14:textId="77777777" w:rsidR="00683EAA" w:rsidRPr="00C04296" w:rsidRDefault="00683EAA" w:rsidP="00C04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</w:pPr>
            <w:r w:rsidRPr="00C04296"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  <w:t>75%</w:t>
            </w:r>
          </w:p>
        </w:tc>
        <w:tc>
          <w:tcPr>
            <w:tcW w:w="2379" w:type="dxa"/>
            <w:gridSpan w:val="2"/>
            <w:shd w:val="clear" w:color="auto" w:fill="auto"/>
          </w:tcPr>
          <w:p w14:paraId="636F0A86" w14:textId="7C9D615B" w:rsidR="00683EAA" w:rsidRPr="00683EAA" w:rsidRDefault="00683EAA" w:rsidP="00C04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0"/>
                <w:lang w:eastAsia="es-CR"/>
              </w:rPr>
            </w:pPr>
            <w:r w:rsidRPr="00683EAA">
              <w:rPr>
                <w:rFonts w:ascii="Calibri" w:eastAsia="Times New Roman" w:hAnsi="Calibri" w:cs="Times New Roman"/>
                <w:sz w:val="22"/>
                <w:szCs w:val="20"/>
                <w:lang w:eastAsia="es-CR"/>
              </w:rPr>
              <w:t>Suspendido</w:t>
            </w:r>
          </w:p>
        </w:tc>
      </w:tr>
    </w:tbl>
    <w:p w14:paraId="0BCB0AAB" w14:textId="625CD7DC" w:rsidR="0070042A" w:rsidRDefault="0070042A" w:rsidP="0070042A">
      <w:pPr>
        <w:spacing w:after="0" w:line="240" w:lineRule="auto"/>
        <w:ind w:left="426"/>
        <w:contextualSpacing/>
        <w:jc w:val="both"/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</w:pPr>
    </w:p>
    <w:p w14:paraId="1ED1EC50" w14:textId="77777777" w:rsidR="00F9202B" w:rsidRDefault="00F9202B" w:rsidP="0070042A">
      <w:pPr>
        <w:spacing w:after="0" w:line="240" w:lineRule="auto"/>
        <w:ind w:left="426"/>
        <w:contextualSpacing/>
        <w:jc w:val="both"/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</w:pPr>
    </w:p>
    <w:p w14:paraId="559D7B10" w14:textId="387CF5E4" w:rsidR="00C04296" w:rsidRDefault="00C04296" w:rsidP="0057129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</w:pPr>
      <w:r w:rsidRPr="00F47E03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G-01 “Mejorar el grado de satisfacción de los beneficiarios finales” con un cumplimiento del 9</w:t>
      </w:r>
      <w:r w:rsidR="00765F0C" w:rsidRPr="00F47E03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3</w:t>
      </w:r>
      <w:r w:rsidRPr="00F47E03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%, la encuesta se realizó por medio de entrevistas telefónicas, la población de interés es de hombres y mujeres residentes en todo el país, cuyo Bono Familiar de Vivienda fue formalizado y pagado en el periodo 201</w:t>
      </w:r>
      <w:r w:rsidR="00FC58DF" w:rsidRPr="00F47E03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9</w:t>
      </w:r>
      <w:r w:rsidRPr="00F47E03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, el diseño muestral </w:t>
      </w:r>
      <w:r w:rsidR="0070042A" w:rsidRPr="00F47E03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se </w:t>
      </w:r>
      <w:r w:rsidRPr="00F47E03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realiza aleatorio, estratificado por provincia de selección sistemática, nivel de confianza del 95%, </w:t>
      </w:r>
    </w:p>
    <w:p w14:paraId="2CF1F389" w14:textId="77777777" w:rsidR="00F47E03" w:rsidRPr="00F47E03" w:rsidRDefault="00F47E03" w:rsidP="00F47E03">
      <w:pPr>
        <w:spacing w:after="0" w:line="240" w:lineRule="auto"/>
        <w:ind w:left="426"/>
        <w:contextualSpacing/>
        <w:jc w:val="both"/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</w:pPr>
    </w:p>
    <w:p w14:paraId="1586FF23" w14:textId="77777777" w:rsidR="00C04296" w:rsidRPr="00C04296" w:rsidRDefault="00C04296" w:rsidP="004A6F79">
      <w:p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 w:val="23"/>
          <w:szCs w:val="23"/>
          <w:lang w:val="es-ES" w:eastAsia="es-ES"/>
        </w:rPr>
      </w:pPr>
      <w:r w:rsidRPr="00C04296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lastRenderedPageBreak/>
        <w:t xml:space="preserve">Entre las variables consideradas para el año 2019, se tomaron en cuenta:  Trámites fueron rápidos y sencillos; tener casa propia, se obtiene una casa cómoda y terminada; buena atención en cuanto a trámites; entre otros. </w:t>
      </w:r>
    </w:p>
    <w:p w14:paraId="76F6B1E3" w14:textId="77777777" w:rsidR="00C04296" w:rsidRPr="00C04296" w:rsidRDefault="00C04296" w:rsidP="00C04296">
      <w:pPr>
        <w:spacing w:after="0" w:line="240" w:lineRule="auto"/>
        <w:rPr>
          <w:rFonts w:asciiTheme="minorHAnsi" w:eastAsia="Times New Roman" w:hAnsiTheme="minorHAnsi" w:cstheme="minorHAnsi"/>
          <w:b/>
          <w:smallCaps/>
          <w:sz w:val="22"/>
          <w:szCs w:val="23"/>
          <w:lang w:val="es-MX" w:eastAsia="es-ES"/>
        </w:rPr>
      </w:pPr>
    </w:p>
    <w:p w14:paraId="4660CCEE" w14:textId="77777777" w:rsidR="00325077" w:rsidRDefault="00C04296" w:rsidP="00B6674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Theme="minorHAnsi" w:hAnsiTheme="minorHAnsi" w:cs="TimesNewRoman"/>
          <w:sz w:val="22"/>
          <w:lang w:eastAsia="es-CR"/>
        </w:rPr>
      </w:pPr>
      <w:r w:rsidRPr="009224B5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G-02 “Mejorar la percepción del BANHVI ante las Entidades Autorizadas” </w:t>
      </w:r>
      <w:r w:rsidR="00D870C4" w:rsidRPr="009224B5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suspendido</w:t>
      </w:r>
      <w:r w:rsidR="002D41FC" w:rsidRPr="009224B5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. Según consta en el memo </w:t>
      </w:r>
      <w:r w:rsidR="009224B5" w:rsidRPr="009224B5">
        <w:rPr>
          <w:rFonts w:asciiTheme="minorHAnsi" w:hAnsiTheme="minorHAnsi" w:cs="TimesNewRoman"/>
          <w:sz w:val="22"/>
          <w:lang w:eastAsia="es-CR"/>
        </w:rPr>
        <w:t xml:space="preserve">UCO-ME-080-2020 del 23/10/2020 se informó que esta Unidad, en su función de actualizador, solicitó – como en años anteriores- la contratación para la aplicación del instrumento que permitiría medir para el 2020 el cumplimiento de este objetivo. </w:t>
      </w:r>
    </w:p>
    <w:p w14:paraId="1D28AD6C" w14:textId="77777777" w:rsidR="00325077" w:rsidRDefault="00325077" w:rsidP="00325077">
      <w:p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Theme="minorHAnsi" w:hAnsiTheme="minorHAnsi" w:cs="TimesNewRoman"/>
          <w:sz w:val="22"/>
          <w:lang w:eastAsia="es-CR"/>
        </w:rPr>
      </w:pPr>
    </w:p>
    <w:p w14:paraId="0B54B803" w14:textId="523F9BFF" w:rsidR="00317D80" w:rsidRPr="00317D80" w:rsidRDefault="009224B5" w:rsidP="00317D80">
      <w:p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Theme="minorHAnsi" w:hAnsiTheme="minorHAnsi" w:cs="TimesNewRoman"/>
          <w:sz w:val="22"/>
          <w:lang w:eastAsia="es-CR"/>
        </w:rPr>
      </w:pPr>
      <w:r w:rsidRPr="00325077">
        <w:rPr>
          <w:rFonts w:asciiTheme="minorHAnsi" w:hAnsiTheme="minorHAnsi" w:cs="TimesNewRoman"/>
          <w:sz w:val="22"/>
          <w:lang w:eastAsia="es-CR"/>
        </w:rPr>
        <w:t>No obstante, la Gerencia General mediante nota GG-ME-1119-2020 no autorizó esta contratación "debido principalmente a la situación actual y el poco provecho o valor que ha generado en el pasado".</w:t>
      </w:r>
      <w:r w:rsidR="00A5551F">
        <w:rPr>
          <w:rFonts w:asciiTheme="minorHAnsi" w:hAnsiTheme="minorHAnsi" w:cs="TimesNewRoman"/>
          <w:sz w:val="22"/>
          <w:lang w:eastAsia="es-CR"/>
        </w:rPr>
        <w:t xml:space="preserve"> </w:t>
      </w:r>
      <w:r w:rsidR="00317D80" w:rsidRPr="00317D80">
        <w:rPr>
          <w:rFonts w:asciiTheme="minorHAnsi" w:hAnsiTheme="minorHAnsi" w:cs="TimesNewRoman"/>
          <w:sz w:val="22"/>
          <w:lang w:eastAsia="es-CR"/>
        </w:rPr>
        <w:t>La valoración y alcance de esta acción</w:t>
      </w:r>
      <w:r w:rsidR="00317D80">
        <w:rPr>
          <w:rFonts w:asciiTheme="minorHAnsi" w:hAnsiTheme="minorHAnsi" w:cs="TimesNewRoman"/>
          <w:sz w:val="22"/>
          <w:lang w:eastAsia="es-CR"/>
        </w:rPr>
        <w:t xml:space="preserve"> </w:t>
      </w:r>
      <w:r w:rsidR="00317D80" w:rsidRPr="00317D80">
        <w:rPr>
          <w:rFonts w:asciiTheme="minorHAnsi" w:hAnsiTheme="minorHAnsi" w:cs="TimesNewRoman"/>
          <w:sz w:val="22"/>
          <w:lang w:eastAsia="es-CR"/>
        </w:rPr>
        <w:t>será retomad</w:t>
      </w:r>
      <w:r w:rsidR="00317D80">
        <w:rPr>
          <w:rFonts w:asciiTheme="minorHAnsi" w:hAnsiTheme="minorHAnsi" w:cs="TimesNewRoman"/>
          <w:sz w:val="22"/>
          <w:lang w:eastAsia="es-CR"/>
        </w:rPr>
        <w:t>a</w:t>
      </w:r>
      <w:r w:rsidR="00317D80" w:rsidRPr="00317D80">
        <w:rPr>
          <w:rFonts w:asciiTheme="minorHAnsi" w:hAnsiTheme="minorHAnsi" w:cs="TimesNewRoman"/>
          <w:sz w:val="22"/>
          <w:lang w:eastAsia="es-CR"/>
        </w:rPr>
        <w:t xml:space="preserve"> por parte de la Administración </w:t>
      </w:r>
      <w:r w:rsidR="00317D80">
        <w:rPr>
          <w:rFonts w:asciiTheme="minorHAnsi" w:hAnsiTheme="minorHAnsi" w:cs="TimesNewRoman"/>
          <w:sz w:val="22"/>
          <w:lang w:eastAsia="es-CR"/>
        </w:rPr>
        <w:t>Superior</w:t>
      </w:r>
      <w:r w:rsidR="00317D80" w:rsidRPr="00317D80">
        <w:rPr>
          <w:rFonts w:asciiTheme="minorHAnsi" w:hAnsiTheme="minorHAnsi" w:cs="TimesNewRoman"/>
          <w:sz w:val="22"/>
          <w:lang w:eastAsia="es-CR"/>
        </w:rPr>
        <w:t>, en el periodo 2021.</w:t>
      </w:r>
    </w:p>
    <w:p w14:paraId="1513FE42" w14:textId="77777777" w:rsidR="009224B5" w:rsidRDefault="009224B5" w:rsidP="009224B5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</w:pPr>
    </w:p>
    <w:p w14:paraId="04ED00ED" w14:textId="77777777" w:rsidR="00C04296" w:rsidRPr="00C04296" w:rsidRDefault="00C04296" w:rsidP="00B66740">
      <w:pPr>
        <w:numPr>
          <w:ilvl w:val="1"/>
          <w:numId w:val="9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smallCaps/>
          <w:sz w:val="26"/>
          <w:szCs w:val="26"/>
          <w:lang w:eastAsia="es-ES"/>
        </w:rPr>
      </w:pPr>
      <w:r w:rsidRPr="00C04296">
        <w:rPr>
          <w:rFonts w:asciiTheme="minorHAnsi" w:eastAsia="Times New Roman" w:hAnsiTheme="minorHAnsi" w:cstheme="minorHAnsi"/>
          <w:b/>
          <w:smallCaps/>
          <w:sz w:val="26"/>
          <w:szCs w:val="26"/>
          <w:lang w:eastAsia="es-ES"/>
        </w:rPr>
        <w:t>Perspectiva Financiera</w:t>
      </w:r>
    </w:p>
    <w:p w14:paraId="1349473D" w14:textId="77777777" w:rsidR="00C04296" w:rsidRPr="00C04296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23"/>
          <w:szCs w:val="23"/>
          <w:lang w:val="es-MX" w:eastAsia="es-ES"/>
        </w:rPr>
      </w:pPr>
    </w:p>
    <w:p w14:paraId="7D3E990B" w14:textId="0303717B" w:rsidR="00C04296" w:rsidRPr="00C04296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</w:pPr>
      <w:r w:rsidRPr="00C04296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 La calificación obtenida de esta perspectiva fue de un 9</w:t>
      </w:r>
      <w:r w:rsidR="00474D60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2</w:t>
      </w:r>
      <w:r w:rsidRPr="00C04296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%, la cual está conformada por sus 3 objetivos (F-01, F-02 y F-03) cuyo cumplimiento se presenta en el siguiente cuadro: </w:t>
      </w:r>
    </w:p>
    <w:p w14:paraId="65822970" w14:textId="3C2924CA" w:rsidR="00C04296" w:rsidRDefault="00C04296" w:rsidP="00C042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mallCaps/>
          <w:sz w:val="22"/>
          <w:szCs w:val="23"/>
          <w:lang w:val="es-MX" w:eastAsia="es-ES"/>
        </w:rPr>
      </w:pPr>
    </w:p>
    <w:p w14:paraId="22C539A7" w14:textId="77777777" w:rsidR="00A4438C" w:rsidRDefault="00A4438C" w:rsidP="00C042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mallCaps/>
          <w:sz w:val="22"/>
          <w:szCs w:val="23"/>
          <w:lang w:val="es-MX" w:eastAsia="es-ES"/>
        </w:rPr>
      </w:pPr>
    </w:p>
    <w:p w14:paraId="4D7CA400" w14:textId="075353DF" w:rsidR="00C04296" w:rsidRPr="00C04296" w:rsidRDefault="00C04296" w:rsidP="00C042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mallCaps/>
          <w:sz w:val="22"/>
          <w:szCs w:val="23"/>
          <w:lang w:val="es-MX" w:eastAsia="es-ES"/>
        </w:rPr>
      </w:pPr>
      <w:r w:rsidRPr="00C04296">
        <w:rPr>
          <w:rFonts w:asciiTheme="minorHAnsi" w:eastAsia="Times New Roman" w:hAnsiTheme="minorHAnsi" w:cstheme="minorHAnsi"/>
          <w:b/>
          <w:smallCaps/>
          <w:sz w:val="22"/>
          <w:szCs w:val="23"/>
          <w:lang w:val="es-MX" w:eastAsia="es-ES"/>
        </w:rPr>
        <w:t xml:space="preserve">Cuadro </w:t>
      </w:r>
      <w:r w:rsidR="00A4438C">
        <w:rPr>
          <w:rFonts w:asciiTheme="minorHAnsi" w:eastAsia="Times New Roman" w:hAnsiTheme="minorHAnsi" w:cstheme="minorHAnsi"/>
          <w:b/>
          <w:smallCaps/>
          <w:sz w:val="22"/>
          <w:szCs w:val="23"/>
          <w:lang w:val="es-MX" w:eastAsia="es-ES"/>
        </w:rPr>
        <w:t>9</w:t>
      </w:r>
    </w:p>
    <w:p w14:paraId="41AC6692" w14:textId="77777777" w:rsidR="00C04296" w:rsidRPr="00C04296" w:rsidRDefault="00C04296" w:rsidP="00C042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mallCaps/>
          <w:sz w:val="22"/>
          <w:szCs w:val="23"/>
          <w:lang w:val="es-MX" w:eastAsia="es-ES"/>
        </w:rPr>
      </w:pPr>
      <w:r w:rsidRPr="00C04296">
        <w:rPr>
          <w:rFonts w:asciiTheme="minorHAnsi" w:eastAsia="Times New Roman" w:hAnsiTheme="minorHAnsi" w:cstheme="minorHAnsi"/>
          <w:b/>
          <w:smallCaps/>
          <w:sz w:val="22"/>
          <w:szCs w:val="23"/>
          <w:lang w:val="es-MX" w:eastAsia="es-ES"/>
        </w:rPr>
        <w:t>Composición de la Perspectiva</w:t>
      </w:r>
    </w:p>
    <w:p w14:paraId="0DE7CF53" w14:textId="77777777" w:rsidR="00C04296" w:rsidRPr="00C04296" w:rsidRDefault="00C04296" w:rsidP="00C04296">
      <w:pPr>
        <w:spacing w:after="0" w:line="240" w:lineRule="auto"/>
        <w:jc w:val="center"/>
        <w:rPr>
          <w:rFonts w:asciiTheme="minorHAnsi" w:eastAsia="Times New Roman" w:hAnsiTheme="minorHAnsi" w:cstheme="minorHAnsi"/>
          <w:sz w:val="23"/>
          <w:szCs w:val="23"/>
          <w:lang w:val="es-MX" w:eastAsia="es-ES"/>
        </w:rPr>
      </w:pPr>
    </w:p>
    <w:tbl>
      <w:tblPr>
        <w:tblW w:w="92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8"/>
        <w:gridCol w:w="1832"/>
        <w:gridCol w:w="1859"/>
        <w:gridCol w:w="1859"/>
        <w:gridCol w:w="1085"/>
      </w:tblGrid>
      <w:tr w:rsidR="00D12C99" w:rsidRPr="00C04296" w14:paraId="35B52E53" w14:textId="77777777" w:rsidTr="00D12C99">
        <w:trPr>
          <w:trHeight w:val="517"/>
          <w:tblHeader/>
          <w:jc w:val="center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109664B" w14:textId="77777777" w:rsidR="00D12C99" w:rsidRPr="00C04296" w:rsidRDefault="00D12C99" w:rsidP="00667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lang w:eastAsia="es-CR"/>
              </w:rPr>
            </w:pPr>
            <w:r w:rsidRPr="00C04296">
              <w:rPr>
                <w:rFonts w:ascii="Calibri" w:eastAsia="Times New Roman" w:hAnsi="Calibri" w:cs="Times New Roman"/>
                <w:b/>
                <w:bCs/>
                <w:sz w:val="22"/>
                <w:lang w:eastAsia="es-CR"/>
              </w:rPr>
              <w:t>Objetivo Estratégico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0A5F522" w14:textId="77777777" w:rsidR="00D12C99" w:rsidRPr="00C04296" w:rsidRDefault="00D12C99" w:rsidP="00667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lang w:eastAsia="es-CR"/>
              </w:rPr>
            </w:pPr>
            <w:r w:rsidRPr="00C04296">
              <w:rPr>
                <w:rFonts w:ascii="Calibri" w:eastAsia="Times New Roman" w:hAnsi="Calibri" w:cs="Times New Roman"/>
                <w:b/>
                <w:bCs/>
                <w:sz w:val="22"/>
                <w:lang w:eastAsia="es-CR"/>
              </w:rPr>
              <w:t>Indicador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9B9E16E" w14:textId="17344157" w:rsidR="00D12C99" w:rsidRPr="00C04296" w:rsidRDefault="00D12C99" w:rsidP="00667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R"/>
              </w:rPr>
            </w:pPr>
            <w:r w:rsidRPr="00C0429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R"/>
              </w:rPr>
              <w:t>Meta 20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R"/>
              </w:rPr>
              <w:t>20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B0A2F20" w14:textId="77777777" w:rsidR="00D12C99" w:rsidRPr="00C04296" w:rsidRDefault="00D12C99" w:rsidP="00667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R"/>
              </w:rPr>
            </w:pPr>
            <w:r w:rsidRPr="00C0429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R"/>
              </w:rPr>
              <w:t>Resultado del indicador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0BEA342" w14:textId="77777777" w:rsidR="00D12C99" w:rsidRPr="00C04296" w:rsidRDefault="00D12C99" w:rsidP="00667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R"/>
              </w:rPr>
            </w:pPr>
            <w:r w:rsidRPr="00C0429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R"/>
              </w:rPr>
              <w:t xml:space="preserve">Puntuación </w:t>
            </w:r>
          </w:p>
        </w:tc>
      </w:tr>
      <w:tr w:rsidR="00D12C99" w:rsidRPr="00C04296" w14:paraId="5D072F9D" w14:textId="77777777" w:rsidTr="00667DA7">
        <w:trPr>
          <w:trHeight w:val="517"/>
          <w:tblHeader/>
          <w:jc w:val="center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2BF046B" w14:textId="77777777" w:rsidR="00D12C99" w:rsidRPr="00C04296" w:rsidRDefault="00D12C99" w:rsidP="00C042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lang w:eastAsia="es-CR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5191D50" w14:textId="77777777" w:rsidR="00D12C99" w:rsidRPr="00C04296" w:rsidRDefault="00D12C99" w:rsidP="00C042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lang w:eastAsia="es-CR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F8678DA" w14:textId="77777777" w:rsidR="00D12C99" w:rsidRPr="00C04296" w:rsidRDefault="00D12C99" w:rsidP="00C042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4D73E9A" w14:textId="77777777" w:rsidR="00D12C99" w:rsidRPr="00C04296" w:rsidRDefault="00D12C99" w:rsidP="00C042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0897A02" w14:textId="77777777" w:rsidR="00D12C99" w:rsidRPr="00C04296" w:rsidRDefault="00D12C99" w:rsidP="00C042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R"/>
              </w:rPr>
            </w:pPr>
          </w:p>
        </w:tc>
      </w:tr>
      <w:tr w:rsidR="00D12C99" w:rsidRPr="00C04296" w14:paraId="1CE33005" w14:textId="77777777" w:rsidTr="00D12C99">
        <w:trPr>
          <w:trHeight w:val="585"/>
          <w:jc w:val="center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A875A" w14:textId="77777777" w:rsidR="00D12C99" w:rsidRPr="00667DA7" w:rsidRDefault="00D12C99" w:rsidP="00C042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</w:pPr>
            <w:r w:rsidRPr="00667DA7">
              <w:rPr>
                <w:rFonts w:ascii="Calibri" w:eastAsia="Times New Roman" w:hAnsi="Calibri" w:cs="Times New Roman"/>
                <w:sz w:val="22"/>
                <w:lang w:eastAsia="es-CR"/>
              </w:rPr>
              <w:t xml:space="preserve">F-01 </w:t>
            </w:r>
            <w:r w:rsidRPr="00667DA7"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  <w:t>Aumentar el saldo de la cartera de crédito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7886C" w14:textId="77777777" w:rsidR="00D12C99" w:rsidRPr="00C04296" w:rsidRDefault="00D12C99" w:rsidP="00C04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R"/>
              </w:rPr>
            </w:pPr>
            <w:r w:rsidRPr="00C042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R"/>
              </w:rPr>
              <w:t>Saldo de Cartera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7378" w14:textId="1A48B870" w:rsidR="00D12C99" w:rsidRPr="00C04296" w:rsidRDefault="002919DC" w:rsidP="00C04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C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s-CR"/>
              </w:rPr>
              <w:t>2.20%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B370" w14:textId="755693E7" w:rsidR="00D12C99" w:rsidRPr="00C04296" w:rsidRDefault="002919DC" w:rsidP="00C04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  <w:t>1.90%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984A" w14:textId="3B3EBF02" w:rsidR="00D12C99" w:rsidRPr="00C04296" w:rsidRDefault="002919DC" w:rsidP="00C04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2"/>
                <w:szCs w:val="20"/>
                <w:lang w:eastAsia="es-CR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0"/>
                <w:lang w:eastAsia="es-CR"/>
              </w:rPr>
              <w:t>86</w:t>
            </w:r>
            <w:r w:rsidR="00D12C99" w:rsidRPr="00C04296">
              <w:rPr>
                <w:rFonts w:ascii="Calibri" w:eastAsia="Times New Roman" w:hAnsi="Calibri" w:cs="Times New Roman"/>
                <w:b/>
                <w:sz w:val="22"/>
                <w:szCs w:val="20"/>
                <w:lang w:eastAsia="es-CR"/>
              </w:rPr>
              <w:t>%</w:t>
            </w:r>
          </w:p>
        </w:tc>
      </w:tr>
      <w:tr w:rsidR="00D12C99" w:rsidRPr="00C04296" w14:paraId="71F38E3F" w14:textId="77777777" w:rsidTr="00D12C99">
        <w:trPr>
          <w:trHeight w:val="585"/>
          <w:jc w:val="center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5F49A" w14:textId="77777777" w:rsidR="00D12C99" w:rsidRPr="00667DA7" w:rsidRDefault="00D12C99" w:rsidP="00C042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</w:pPr>
            <w:r w:rsidRPr="00667DA7">
              <w:rPr>
                <w:rFonts w:ascii="Calibri" w:eastAsia="Times New Roman" w:hAnsi="Calibri" w:cs="Times New Roman"/>
                <w:sz w:val="22"/>
                <w:lang w:eastAsia="es-CR"/>
              </w:rPr>
              <w:t xml:space="preserve">F-02 </w:t>
            </w:r>
            <w:r w:rsidRPr="00667DA7"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  <w:t>Mejorar la ejecución del presupuesto FOSUVI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5880C" w14:textId="77777777" w:rsidR="00D12C99" w:rsidRPr="00C04296" w:rsidRDefault="00D12C99" w:rsidP="00C04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R"/>
              </w:rPr>
            </w:pPr>
            <w:r w:rsidRPr="00C042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R"/>
              </w:rPr>
              <w:t>Porcentaje de ejecución presupuestaria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EE82" w14:textId="77777777" w:rsidR="00D12C99" w:rsidRPr="00C04296" w:rsidRDefault="00D12C99" w:rsidP="00C04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</w:pPr>
            <w:r w:rsidRPr="00C04296"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  <w:t>100%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AA2E7" w14:textId="38A468AA" w:rsidR="00D12C99" w:rsidRPr="00C04296" w:rsidRDefault="00042C65" w:rsidP="00C04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  <w:t>100</w:t>
            </w:r>
            <w:r w:rsidR="00D12C99" w:rsidRPr="00C04296"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  <w:t>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622A" w14:textId="5049914B" w:rsidR="00D12C99" w:rsidRPr="00C04296" w:rsidRDefault="00042C65" w:rsidP="00C04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2"/>
                <w:szCs w:val="20"/>
                <w:lang w:eastAsia="es-CR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0"/>
                <w:lang w:eastAsia="es-CR"/>
              </w:rPr>
              <w:t>100</w:t>
            </w:r>
            <w:r w:rsidR="00D12C99" w:rsidRPr="00C04296">
              <w:rPr>
                <w:rFonts w:ascii="Calibri" w:eastAsia="Times New Roman" w:hAnsi="Calibri" w:cs="Times New Roman"/>
                <w:b/>
                <w:sz w:val="22"/>
                <w:szCs w:val="20"/>
                <w:lang w:eastAsia="es-CR"/>
              </w:rPr>
              <w:t>%</w:t>
            </w:r>
          </w:p>
        </w:tc>
      </w:tr>
      <w:tr w:rsidR="00D12C99" w:rsidRPr="00C04296" w14:paraId="3E0D0A6E" w14:textId="77777777" w:rsidTr="00D12C99">
        <w:trPr>
          <w:trHeight w:val="915"/>
          <w:jc w:val="center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500CC" w14:textId="1E0BA3C7" w:rsidR="00D12C99" w:rsidRPr="00667DA7" w:rsidRDefault="00D12C99" w:rsidP="00C042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</w:pPr>
            <w:r w:rsidRPr="00667DA7">
              <w:rPr>
                <w:rFonts w:ascii="Calibri" w:eastAsia="Times New Roman" w:hAnsi="Calibri" w:cs="Times New Roman"/>
                <w:sz w:val="22"/>
                <w:lang w:eastAsia="es-CR"/>
              </w:rPr>
              <w:t xml:space="preserve">F-03 </w:t>
            </w:r>
            <w:r w:rsidRPr="00667DA7"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  <w:t xml:space="preserve">Comprometer los montos de proyectos Art. 59 de los recursos disponibles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C59F8" w14:textId="77777777" w:rsidR="00D12C99" w:rsidRPr="00C04296" w:rsidRDefault="00D12C99" w:rsidP="00C04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R"/>
              </w:rPr>
            </w:pPr>
            <w:r w:rsidRPr="00C042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R"/>
              </w:rPr>
              <w:t>Relación del montos aprobados y disponibles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439FC" w14:textId="77777777" w:rsidR="00D12C99" w:rsidRPr="00C04296" w:rsidRDefault="00D12C99" w:rsidP="00C04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</w:pPr>
            <w:r w:rsidRPr="00C04296"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  <w:t>100%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6FE9" w14:textId="0C0E13AE" w:rsidR="00D12C99" w:rsidRPr="00C04296" w:rsidRDefault="00D12C99" w:rsidP="00C04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</w:pPr>
            <w:r w:rsidRPr="00C04296"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  <w:t>9</w:t>
            </w:r>
            <w:r w:rsidR="00240480"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  <w:t>2</w:t>
            </w:r>
            <w:r w:rsidRPr="00C04296">
              <w:rPr>
                <w:rFonts w:ascii="Calibri" w:eastAsia="Times New Roman" w:hAnsi="Calibri" w:cs="Times New Roman"/>
                <w:sz w:val="20"/>
                <w:szCs w:val="20"/>
                <w:lang w:eastAsia="es-CR"/>
              </w:rPr>
              <w:t>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F0D11" w14:textId="3FF1BEEA" w:rsidR="00D12C99" w:rsidRPr="00C04296" w:rsidRDefault="00D12C99" w:rsidP="00C04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2"/>
                <w:szCs w:val="20"/>
                <w:lang w:eastAsia="es-CR"/>
              </w:rPr>
            </w:pPr>
            <w:r w:rsidRPr="00C04296">
              <w:rPr>
                <w:rFonts w:ascii="Calibri" w:eastAsia="Times New Roman" w:hAnsi="Calibri" w:cs="Times New Roman"/>
                <w:b/>
                <w:sz w:val="22"/>
                <w:szCs w:val="20"/>
                <w:lang w:eastAsia="es-CR"/>
              </w:rPr>
              <w:t>9</w:t>
            </w:r>
            <w:r w:rsidR="00240480">
              <w:rPr>
                <w:rFonts w:ascii="Calibri" w:eastAsia="Times New Roman" w:hAnsi="Calibri" w:cs="Times New Roman"/>
                <w:b/>
                <w:sz w:val="22"/>
                <w:szCs w:val="20"/>
                <w:lang w:eastAsia="es-CR"/>
              </w:rPr>
              <w:t>2</w:t>
            </w:r>
            <w:r w:rsidRPr="00C04296">
              <w:rPr>
                <w:rFonts w:ascii="Calibri" w:eastAsia="Times New Roman" w:hAnsi="Calibri" w:cs="Times New Roman"/>
                <w:b/>
                <w:sz w:val="22"/>
                <w:szCs w:val="20"/>
                <w:lang w:eastAsia="es-CR"/>
              </w:rPr>
              <w:t>%</w:t>
            </w:r>
          </w:p>
        </w:tc>
      </w:tr>
    </w:tbl>
    <w:p w14:paraId="155604D7" w14:textId="64994E36" w:rsidR="00C04296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23"/>
          <w:szCs w:val="23"/>
          <w:lang w:val="es-MX" w:eastAsia="es-ES"/>
        </w:rPr>
      </w:pPr>
    </w:p>
    <w:p w14:paraId="685A5A09" w14:textId="77777777" w:rsidR="00A4438C" w:rsidRPr="00C04296" w:rsidRDefault="00A4438C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23"/>
          <w:szCs w:val="23"/>
          <w:lang w:val="es-MX" w:eastAsia="es-ES"/>
        </w:rPr>
      </w:pPr>
    </w:p>
    <w:p w14:paraId="286C7239" w14:textId="67C36AF8" w:rsidR="009C43DA" w:rsidRPr="0037790E" w:rsidRDefault="00C04296" w:rsidP="00B6674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lang w:val="es-ES"/>
        </w:rPr>
      </w:pPr>
      <w:r w:rsidRPr="0037790E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F-01 “Aumentar el saldo de la cartera de crédito” obtuvo un cumplimiento del </w:t>
      </w:r>
      <w:r w:rsidR="00B4032A" w:rsidRPr="0037790E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86</w:t>
      </w:r>
      <w:r w:rsidRPr="0037790E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%</w:t>
      </w:r>
      <w:r w:rsidR="0037790E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; </w:t>
      </w:r>
      <w:r w:rsidR="009C43DA" w:rsidRPr="0037790E">
        <w:rPr>
          <w:rFonts w:asciiTheme="minorHAnsi" w:hAnsiTheme="minorHAnsi" w:cstheme="minorHAnsi"/>
          <w:sz w:val="22"/>
          <w:lang w:val="es-ES"/>
        </w:rPr>
        <w:t>ante la crisis sanitaria del COVID-19, el BANHVI realizó un análisis sobre los posibles efectos y de esos resultados aplico medidas de ajuste en sus proyecciones financieras.  En cuanto a la Cartera de crédito, se realizó un ajuste en el crecimiento esperado pasando de un 8% a un 2.2%;</w:t>
      </w:r>
      <w:r w:rsidR="00D63C62">
        <w:rPr>
          <w:rFonts w:asciiTheme="minorHAnsi" w:hAnsiTheme="minorHAnsi" w:cstheme="minorHAnsi"/>
          <w:sz w:val="22"/>
          <w:lang w:val="es-ES"/>
        </w:rPr>
        <w:t xml:space="preserve"> por lo que se </w:t>
      </w:r>
      <w:r w:rsidR="00622E5E">
        <w:rPr>
          <w:rFonts w:asciiTheme="minorHAnsi" w:hAnsiTheme="minorHAnsi" w:cstheme="minorHAnsi"/>
          <w:sz w:val="22"/>
          <w:lang w:val="es-ES"/>
        </w:rPr>
        <w:t>logró</w:t>
      </w:r>
      <w:r w:rsidR="00D63C62">
        <w:rPr>
          <w:rFonts w:asciiTheme="minorHAnsi" w:hAnsiTheme="minorHAnsi" w:cstheme="minorHAnsi"/>
          <w:sz w:val="22"/>
          <w:lang w:val="es-ES"/>
        </w:rPr>
        <w:t xml:space="preserve"> aumentar la cartera en 1.90%</w:t>
      </w:r>
      <w:r w:rsidR="00622E5E">
        <w:rPr>
          <w:rFonts w:asciiTheme="minorHAnsi" w:hAnsiTheme="minorHAnsi" w:cstheme="minorHAnsi"/>
          <w:sz w:val="22"/>
          <w:lang w:val="es-ES"/>
        </w:rPr>
        <w:t xml:space="preserve">; </w:t>
      </w:r>
      <w:r w:rsidR="009C43DA" w:rsidRPr="0037790E">
        <w:rPr>
          <w:rFonts w:asciiTheme="minorHAnsi" w:hAnsiTheme="minorHAnsi" w:cstheme="minorHAnsi"/>
          <w:sz w:val="22"/>
          <w:lang w:val="es-ES"/>
        </w:rPr>
        <w:t xml:space="preserve">a saber: </w:t>
      </w:r>
    </w:p>
    <w:p w14:paraId="6366C075" w14:textId="7BB1F24F" w:rsidR="009C43DA" w:rsidRDefault="009C43DA" w:rsidP="009C43DA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14:paraId="74A9CBB1" w14:textId="30F833F9" w:rsidR="00985575" w:rsidRDefault="00985575" w:rsidP="009C43DA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14:paraId="3CEE95DF" w14:textId="77777777" w:rsidR="00985575" w:rsidRDefault="00985575" w:rsidP="009C43DA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14:paraId="22C8515A" w14:textId="7B897D50" w:rsidR="009C43DA" w:rsidRDefault="009C43DA" w:rsidP="00A4438C">
      <w:pPr>
        <w:jc w:val="center"/>
        <w:rPr>
          <w:sz w:val="23"/>
          <w:szCs w:val="23"/>
        </w:rPr>
      </w:pPr>
      <w:r w:rsidRPr="00136946">
        <w:rPr>
          <w:rFonts w:asciiTheme="minorHAnsi" w:hAnsiTheme="minorHAnsi" w:cstheme="minorHAnsi"/>
          <w:b/>
          <w:smallCaps/>
          <w:color w:val="000000"/>
          <w:sz w:val="22"/>
          <w:lang w:val="es-ES"/>
        </w:rPr>
        <w:lastRenderedPageBreak/>
        <w:t xml:space="preserve">Imagen No. </w:t>
      </w:r>
      <w:r w:rsidR="00A4438C">
        <w:rPr>
          <w:rFonts w:asciiTheme="minorHAnsi" w:hAnsiTheme="minorHAnsi" w:cstheme="minorHAnsi"/>
          <w:b/>
          <w:smallCaps/>
          <w:color w:val="000000"/>
          <w:sz w:val="22"/>
          <w:lang w:val="es-ES"/>
        </w:rPr>
        <w:t>2</w:t>
      </w:r>
      <w:r w:rsidRPr="00136946">
        <w:rPr>
          <w:rFonts w:asciiTheme="minorHAnsi" w:hAnsiTheme="minorHAnsi" w:cstheme="minorHAnsi"/>
          <w:b/>
          <w:smallCaps/>
          <w:color w:val="000000"/>
          <w:sz w:val="22"/>
          <w:lang w:val="es-ES"/>
        </w:rPr>
        <w:t xml:space="preserve"> Cartera de Crédito. </w:t>
      </w:r>
    </w:p>
    <w:p w14:paraId="79E5BE49" w14:textId="77777777" w:rsidR="009C43DA" w:rsidRDefault="009C43DA" w:rsidP="009C43DA">
      <w:pPr>
        <w:pStyle w:val="Default"/>
        <w:jc w:val="center"/>
      </w:pPr>
      <w:r>
        <w:rPr>
          <w:noProof/>
        </w:rPr>
        <w:drawing>
          <wp:inline distT="0" distB="0" distL="0" distR="0" wp14:anchorId="7DC1F97E" wp14:editId="158D4419">
            <wp:extent cx="3893820" cy="746760"/>
            <wp:effectExtent l="0" t="0" r="11430" b="152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82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A160B" w14:textId="77777777" w:rsidR="009C43DA" w:rsidRDefault="009C43DA" w:rsidP="009C43DA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</w:pPr>
    </w:p>
    <w:p w14:paraId="7BA2E38E" w14:textId="77777777" w:rsidR="00F2122E" w:rsidRDefault="00F2122E" w:rsidP="00F2122E">
      <w:pPr>
        <w:spacing w:after="0" w:line="240" w:lineRule="auto"/>
        <w:ind w:left="426"/>
        <w:contextualSpacing/>
        <w:jc w:val="both"/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</w:pPr>
    </w:p>
    <w:p w14:paraId="12D8BB82" w14:textId="204F089D" w:rsidR="00C04296" w:rsidRPr="00C04296" w:rsidRDefault="00C04296" w:rsidP="00B6674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</w:pPr>
      <w:r w:rsidRPr="00C04296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F-02 “Mejorar la ejecución del presupuesto FOSUVI” obtuvo un cumplimiento del 94%. Al cierre del período 20</w:t>
      </w:r>
      <w:r w:rsidR="00A40CCD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20</w:t>
      </w:r>
      <w:r w:rsidRPr="00C04296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 se desembolsaron ¢</w:t>
      </w:r>
      <w:r w:rsidR="00A40CCD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125</w:t>
      </w:r>
      <w:r w:rsidRPr="00C04296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,</w:t>
      </w:r>
      <w:r w:rsidR="00A40CCD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919</w:t>
      </w:r>
      <w:r w:rsidRPr="00C04296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.</w:t>
      </w:r>
      <w:r w:rsidR="00A40CCD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70</w:t>
      </w:r>
      <w:r w:rsidRPr="00C04296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 millones, el cual corresponde a los programas de Bono Ordinario, Bono de art</w:t>
      </w:r>
      <w:r w:rsidR="004A6F79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í</w:t>
      </w:r>
      <w:r w:rsidRPr="00C04296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culo 59 y Bono Colectivo, el desglose de estos desembolsos se presenta a continuación:</w:t>
      </w:r>
    </w:p>
    <w:p w14:paraId="1F9E1BAE" w14:textId="77777777" w:rsidR="00C04296" w:rsidRPr="00C04296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23"/>
          <w:szCs w:val="23"/>
          <w:lang w:val="es-ES" w:eastAsia="es-ES"/>
        </w:rPr>
      </w:pPr>
    </w:p>
    <w:p w14:paraId="0F98B78F" w14:textId="51E2892E" w:rsidR="00C04296" w:rsidRPr="002453FA" w:rsidRDefault="00C04296" w:rsidP="00C04296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smallCaps/>
          <w:color w:val="000000"/>
          <w:sz w:val="22"/>
          <w:lang w:val="es-ES" w:eastAsia="es-ES"/>
        </w:rPr>
      </w:pPr>
      <w:r w:rsidRPr="002453FA">
        <w:rPr>
          <w:rFonts w:asciiTheme="minorHAnsi" w:eastAsia="Times New Roman" w:hAnsiTheme="minorHAnsi" w:cstheme="minorHAnsi"/>
          <w:b/>
          <w:smallCaps/>
          <w:color w:val="000000"/>
          <w:sz w:val="22"/>
          <w:lang w:val="es-ES" w:eastAsia="es-ES"/>
        </w:rPr>
        <w:t xml:space="preserve">Cuadro No. </w:t>
      </w:r>
      <w:r w:rsidR="00A4438C" w:rsidRPr="002453FA">
        <w:rPr>
          <w:rFonts w:asciiTheme="minorHAnsi" w:eastAsia="Times New Roman" w:hAnsiTheme="minorHAnsi" w:cstheme="minorHAnsi"/>
          <w:b/>
          <w:smallCaps/>
          <w:color w:val="000000"/>
          <w:sz w:val="22"/>
          <w:lang w:val="es-ES" w:eastAsia="es-ES"/>
        </w:rPr>
        <w:t>10</w:t>
      </w:r>
    </w:p>
    <w:p w14:paraId="70C69827" w14:textId="77777777" w:rsidR="00C04296" w:rsidRPr="002453FA" w:rsidRDefault="00C04296" w:rsidP="00C04296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smallCaps/>
          <w:color w:val="000000"/>
          <w:sz w:val="22"/>
          <w:lang w:val="es-ES" w:eastAsia="es-ES"/>
        </w:rPr>
      </w:pPr>
      <w:r w:rsidRPr="002453FA">
        <w:rPr>
          <w:rFonts w:asciiTheme="minorHAnsi" w:eastAsia="Times New Roman" w:hAnsiTheme="minorHAnsi" w:cstheme="minorHAnsi"/>
          <w:b/>
          <w:smallCaps/>
          <w:color w:val="000000"/>
          <w:sz w:val="22"/>
          <w:lang w:val="es-ES" w:eastAsia="es-ES"/>
        </w:rPr>
        <w:t>Presupuesto Ejecutado por Programas</w:t>
      </w:r>
    </w:p>
    <w:p w14:paraId="0DC7FAA5" w14:textId="77777777" w:rsidR="00C04296" w:rsidRPr="00C04296" w:rsidRDefault="00C04296" w:rsidP="00C04296">
      <w:pPr>
        <w:spacing w:after="0" w:line="240" w:lineRule="auto"/>
        <w:jc w:val="both"/>
        <w:rPr>
          <w:rFonts w:eastAsia="Times New Roman" w:cs="Times New Roman"/>
          <w:noProof/>
          <w:szCs w:val="24"/>
          <w:lang w:val="es-ES" w:eastAsia="es-ES"/>
        </w:rPr>
      </w:pPr>
    </w:p>
    <w:tbl>
      <w:tblPr>
        <w:tblW w:w="5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546"/>
      </w:tblGrid>
      <w:tr w:rsidR="00380E35" w:rsidRPr="00C04296" w14:paraId="03B83C75" w14:textId="77777777" w:rsidTr="00A1440D">
        <w:trPr>
          <w:trHeight w:val="143"/>
          <w:jc w:val="center"/>
        </w:trPr>
        <w:tc>
          <w:tcPr>
            <w:tcW w:w="2694" w:type="dxa"/>
            <w:shd w:val="clear" w:color="auto" w:fill="C6D9F1" w:themeFill="text2" w:themeFillTint="33"/>
            <w:vAlign w:val="center"/>
            <w:hideMark/>
          </w:tcPr>
          <w:p w14:paraId="4BE743C3" w14:textId="77777777" w:rsidR="00380E35" w:rsidRPr="00C04296" w:rsidRDefault="00380E35" w:rsidP="00C042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val="es-ES" w:eastAsia="es-CR"/>
              </w:rPr>
            </w:pPr>
            <w:r w:rsidRPr="00C0429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val="es-ES" w:eastAsia="es-ES"/>
              </w:rPr>
              <w:t>Modalidad</w:t>
            </w:r>
          </w:p>
        </w:tc>
        <w:tc>
          <w:tcPr>
            <w:tcW w:w="2546" w:type="dxa"/>
            <w:shd w:val="clear" w:color="auto" w:fill="C6D9F1" w:themeFill="text2" w:themeFillTint="33"/>
            <w:noWrap/>
            <w:vAlign w:val="center"/>
            <w:hideMark/>
          </w:tcPr>
          <w:p w14:paraId="0C00548C" w14:textId="77777777" w:rsidR="00380E35" w:rsidRPr="00C04296" w:rsidRDefault="00380E35" w:rsidP="00C042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val="es-ES" w:eastAsia="es-ES"/>
              </w:rPr>
            </w:pPr>
            <w:r w:rsidRPr="00C0429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val="es-ES" w:eastAsia="es-ES"/>
              </w:rPr>
              <w:t>Ejecución</w:t>
            </w:r>
          </w:p>
        </w:tc>
      </w:tr>
      <w:tr w:rsidR="00380E35" w:rsidRPr="00C04296" w14:paraId="6EA293EE" w14:textId="77777777" w:rsidTr="00D24C66">
        <w:trPr>
          <w:trHeight w:val="290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4DF40473" w14:textId="77777777" w:rsidR="00380E35" w:rsidRPr="00C04296" w:rsidRDefault="00380E35" w:rsidP="00C04296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val="es-ES" w:eastAsia="es-ES"/>
              </w:rPr>
            </w:pPr>
            <w:r w:rsidRPr="00C04296">
              <w:rPr>
                <w:rFonts w:asciiTheme="minorHAnsi" w:eastAsia="Times New Roman" w:hAnsiTheme="minorHAnsi" w:cstheme="minorHAnsi"/>
                <w:sz w:val="22"/>
                <w:lang w:val="es-ES" w:eastAsia="es-ES"/>
              </w:rPr>
              <w:t>Bonos Ordinarios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42E1E1DC" w14:textId="177B628B" w:rsidR="00380E35" w:rsidRPr="00C04296" w:rsidRDefault="00380E35" w:rsidP="00C042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2"/>
                <w:lang w:val="es-ES" w:eastAsia="es-ES"/>
              </w:rPr>
            </w:pPr>
            <w:r w:rsidRPr="00C04296">
              <w:rPr>
                <w:rFonts w:asciiTheme="minorHAnsi" w:eastAsia="Times New Roman" w:hAnsiTheme="minorHAnsi" w:cstheme="minorHAnsi"/>
                <w:sz w:val="22"/>
                <w:lang w:val="es-ES" w:eastAsia="es-ES"/>
              </w:rPr>
              <w:t xml:space="preserve">     </w:t>
            </w:r>
            <w:r w:rsidR="00B66740" w:rsidRPr="00DC1FB7">
              <w:rPr>
                <w:rFonts w:asciiTheme="minorHAnsi" w:hAnsiTheme="minorHAnsi" w:cstheme="minorHAnsi"/>
                <w:sz w:val="20"/>
                <w:szCs w:val="20"/>
              </w:rPr>
              <w:t>¢</w:t>
            </w:r>
            <w:r w:rsidRPr="00C04296">
              <w:rPr>
                <w:rFonts w:asciiTheme="minorHAnsi" w:eastAsia="Times New Roman" w:hAnsiTheme="minorHAnsi" w:cstheme="minorHAnsi"/>
                <w:sz w:val="22"/>
                <w:lang w:val="es-ES" w:eastAsia="es-ES"/>
              </w:rPr>
              <w:t>7</w:t>
            </w:r>
            <w:r w:rsidR="00AD2853">
              <w:rPr>
                <w:rFonts w:asciiTheme="minorHAnsi" w:eastAsia="Times New Roman" w:hAnsiTheme="minorHAnsi" w:cstheme="minorHAnsi"/>
                <w:sz w:val="22"/>
                <w:lang w:val="es-ES" w:eastAsia="es-ES"/>
              </w:rPr>
              <w:t>8</w:t>
            </w:r>
            <w:r w:rsidRPr="00C04296">
              <w:rPr>
                <w:rFonts w:asciiTheme="minorHAnsi" w:eastAsia="Times New Roman" w:hAnsiTheme="minorHAnsi" w:cstheme="minorHAnsi"/>
                <w:sz w:val="22"/>
                <w:lang w:val="es-ES" w:eastAsia="es-ES"/>
              </w:rPr>
              <w:t xml:space="preserve"> </w:t>
            </w:r>
            <w:r w:rsidR="00AD2853">
              <w:rPr>
                <w:rFonts w:asciiTheme="minorHAnsi" w:eastAsia="Times New Roman" w:hAnsiTheme="minorHAnsi" w:cstheme="minorHAnsi"/>
                <w:sz w:val="22"/>
                <w:lang w:val="es-ES" w:eastAsia="es-ES"/>
              </w:rPr>
              <w:t>191</w:t>
            </w:r>
            <w:r w:rsidRPr="00C04296">
              <w:rPr>
                <w:rFonts w:asciiTheme="minorHAnsi" w:eastAsia="Times New Roman" w:hAnsiTheme="minorHAnsi" w:cstheme="minorHAnsi"/>
                <w:sz w:val="22"/>
                <w:lang w:val="es-ES" w:eastAsia="es-ES"/>
              </w:rPr>
              <w:t xml:space="preserve"> </w:t>
            </w:r>
            <w:r w:rsidR="00AD2853">
              <w:rPr>
                <w:rFonts w:asciiTheme="minorHAnsi" w:eastAsia="Times New Roman" w:hAnsiTheme="minorHAnsi" w:cstheme="minorHAnsi"/>
                <w:sz w:val="22"/>
                <w:lang w:val="es-ES" w:eastAsia="es-ES"/>
              </w:rPr>
              <w:t>.36 millones</w:t>
            </w:r>
            <w:r w:rsidRPr="00C04296">
              <w:rPr>
                <w:rFonts w:asciiTheme="minorHAnsi" w:eastAsia="Times New Roman" w:hAnsiTheme="minorHAnsi" w:cstheme="minorHAnsi"/>
                <w:sz w:val="22"/>
                <w:lang w:val="es-ES" w:eastAsia="es-ES"/>
              </w:rPr>
              <w:t xml:space="preserve"> </w:t>
            </w:r>
          </w:p>
        </w:tc>
      </w:tr>
      <w:tr w:rsidR="00380E35" w:rsidRPr="00C04296" w14:paraId="13FEA71F" w14:textId="77777777" w:rsidTr="00D24C66">
        <w:trPr>
          <w:trHeight w:val="290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6E11F796" w14:textId="77777777" w:rsidR="00380E35" w:rsidRPr="00C04296" w:rsidRDefault="00380E35" w:rsidP="00C04296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val="es-ES" w:eastAsia="es-ES"/>
              </w:rPr>
            </w:pPr>
            <w:r w:rsidRPr="00C04296">
              <w:rPr>
                <w:rFonts w:asciiTheme="minorHAnsi" w:eastAsia="Times New Roman" w:hAnsiTheme="minorHAnsi" w:cstheme="minorHAnsi"/>
                <w:sz w:val="22"/>
                <w:lang w:val="es-ES" w:eastAsia="es-ES"/>
              </w:rPr>
              <w:t>Artículo 59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312FDB59" w14:textId="0BF3B9B3" w:rsidR="00380E35" w:rsidRPr="00C04296" w:rsidRDefault="00393118" w:rsidP="00C042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2"/>
                <w:lang w:val="es-ES" w:eastAsia="es-ES"/>
              </w:rPr>
            </w:pPr>
            <w:r w:rsidRPr="00DC1FB7">
              <w:rPr>
                <w:rFonts w:asciiTheme="minorHAnsi" w:hAnsiTheme="minorHAnsi" w:cstheme="minorHAnsi"/>
                <w:sz w:val="20"/>
                <w:szCs w:val="20"/>
              </w:rPr>
              <w:t>¢</w:t>
            </w:r>
            <w:r w:rsidR="00D24C66">
              <w:rPr>
                <w:rFonts w:asciiTheme="minorHAnsi" w:eastAsia="Times New Roman" w:hAnsiTheme="minorHAnsi" w:cstheme="minorHAnsi"/>
                <w:sz w:val="22"/>
                <w:lang w:val="es-ES" w:eastAsia="es-ES"/>
              </w:rPr>
              <w:t>45 566.78 millones</w:t>
            </w:r>
            <w:r w:rsidR="00380E35" w:rsidRPr="00C04296">
              <w:rPr>
                <w:rFonts w:asciiTheme="minorHAnsi" w:eastAsia="Times New Roman" w:hAnsiTheme="minorHAnsi" w:cstheme="minorHAnsi"/>
                <w:sz w:val="22"/>
                <w:lang w:val="es-ES" w:eastAsia="es-ES"/>
              </w:rPr>
              <w:t xml:space="preserve"> </w:t>
            </w:r>
          </w:p>
        </w:tc>
      </w:tr>
      <w:tr w:rsidR="00380E35" w:rsidRPr="00C04296" w14:paraId="3E0B082C" w14:textId="77777777" w:rsidTr="00D24C66">
        <w:trPr>
          <w:trHeight w:val="290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2B5E162C" w14:textId="77777777" w:rsidR="00380E35" w:rsidRPr="00C04296" w:rsidRDefault="00380E35" w:rsidP="00C04296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val="es-ES" w:eastAsia="es-ES"/>
              </w:rPr>
            </w:pPr>
            <w:r w:rsidRPr="00C04296">
              <w:rPr>
                <w:rFonts w:asciiTheme="minorHAnsi" w:eastAsia="Times New Roman" w:hAnsiTheme="minorHAnsi" w:cstheme="minorHAnsi"/>
                <w:sz w:val="22"/>
                <w:lang w:val="es-ES" w:eastAsia="es-ES"/>
              </w:rPr>
              <w:t>Bono Colectivo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3E14C65F" w14:textId="79A409D4" w:rsidR="00380E35" w:rsidRPr="00C04296" w:rsidRDefault="00393118" w:rsidP="00C042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2"/>
                <w:lang w:val="es-ES" w:eastAsia="es-ES"/>
              </w:rPr>
            </w:pPr>
            <w:r w:rsidRPr="00DC1FB7">
              <w:rPr>
                <w:rFonts w:asciiTheme="minorHAnsi" w:hAnsiTheme="minorHAnsi" w:cstheme="minorHAnsi"/>
                <w:sz w:val="20"/>
                <w:szCs w:val="20"/>
              </w:rPr>
              <w:t>¢</w:t>
            </w:r>
            <w:r>
              <w:rPr>
                <w:rFonts w:asciiTheme="minorHAnsi" w:eastAsia="Times New Roman" w:hAnsiTheme="minorHAnsi" w:cstheme="minorHAnsi"/>
                <w:sz w:val="22"/>
                <w:lang w:val="es-ES" w:eastAsia="es-ES"/>
              </w:rPr>
              <w:t>2 919,70 millones</w:t>
            </w:r>
            <w:r w:rsidR="00380E35" w:rsidRPr="00C04296">
              <w:rPr>
                <w:rFonts w:asciiTheme="minorHAnsi" w:eastAsia="Times New Roman" w:hAnsiTheme="minorHAnsi" w:cstheme="minorHAnsi"/>
                <w:sz w:val="22"/>
                <w:lang w:val="es-ES" w:eastAsia="es-ES"/>
              </w:rPr>
              <w:t xml:space="preserve"> </w:t>
            </w:r>
          </w:p>
        </w:tc>
      </w:tr>
      <w:tr w:rsidR="00380E35" w:rsidRPr="00C04296" w14:paraId="3A37828B" w14:textId="77777777" w:rsidTr="00D24C66">
        <w:trPr>
          <w:trHeight w:val="290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263CA0DE" w14:textId="77777777" w:rsidR="00380E35" w:rsidRPr="00C04296" w:rsidRDefault="00380E35" w:rsidP="00C042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2"/>
                <w:lang w:val="es-ES" w:eastAsia="es-ES"/>
              </w:rPr>
            </w:pPr>
            <w:r w:rsidRPr="00C04296">
              <w:rPr>
                <w:rFonts w:asciiTheme="minorHAnsi" w:eastAsia="Times New Roman" w:hAnsiTheme="minorHAnsi" w:cstheme="minorHAnsi"/>
                <w:b/>
                <w:bCs/>
                <w:sz w:val="22"/>
                <w:lang w:val="es-ES" w:eastAsia="es-ES"/>
              </w:rPr>
              <w:t>TOTAL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7AD78C8A" w14:textId="4D9B472F" w:rsidR="00380E35" w:rsidRPr="00C04296" w:rsidRDefault="00380E35" w:rsidP="00C042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2"/>
                <w:lang w:val="es-ES" w:eastAsia="es-ES"/>
              </w:rPr>
            </w:pPr>
            <w:r w:rsidRPr="00C04296">
              <w:rPr>
                <w:rFonts w:asciiTheme="minorHAnsi" w:eastAsia="Times New Roman" w:hAnsiTheme="minorHAnsi" w:cstheme="minorHAnsi"/>
                <w:b/>
                <w:bCs/>
                <w:sz w:val="22"/>
                <w:lang w:val="es-ES" w:eastAsia="es-ES"/>
              </w:rPr>
              <w:t xml:space="preserve">   </w:t>
            </w:r>
            <w:r w:rsidR="00822A61" w:rsidRPr="00DC1FB7">
              <w:rPr>
                <w:rFonts w:asciiTheme="minorHAnsi" w:hAnsiTheme="minorHAnsi" w:cstheme="minorHAnsi"/>
                <w:sz w:val="20"/>
                <w:szCs w:val="20"/>
              </w:rPr>
              <w:t>¢</w:t>
            </w:r>
            <w:r w:rsidR="00822A61">
              <w:rPr>
                <w:rFonts w:asciiTheme="minorHAnsi" w:eastAsia="Times New Roman" w:hAnsiTheme="minorHAnsi" w:cstheme="minorHAnsi"/>
                <w:b/>
                <w:bCs/>
                <w:sz w:val="22"/>
                <w:lang w:val="es-ES" w:eastAsia="es-ES"/>
              </w:rPr>
              <w:t>125</w:t>
            </w:r>
            <w:r w:rsidRPr="00C04296">
              <w:rPr>
                <w:rFonts w:asciiTheme="minorHAnsi" w:eastAsia="Times New Roman" w:hAnsiTheme="minorHAnsi" w:cstheme="minorHAnsi"/>
                <w:b/>
                <w:bCs/>
                <w:sz w:val="22"/>
                <w:lang w:val="es-ES" w:eastAsia="es-ES"/>
              </w:rPr>
              <w:t xml:space="preserve"> </w:t>
            </w:r>
            <w:r w:rsidR="00822A61">
              <w:rPr>
                <w:rFonts w:asciiTheme="minorHAnsi" w:eastAsia="Times New Roman" w:hAnsiTheme="minorHAnsi" w:cstheme="minorHAnsi"/>
                <w:b/>
                <w:bCs/>
                <w:sz w:val="22"/>
                <w:lang w:val="es-ES" w:eastAsia="es-ES"/>
              </w:rPr>
              <w:t>919</w:t>
            </w:r>
            <w:r w:rsidRPr="00C04296">
              <w:rPr>
                <w:rFonts w:asciiTheme="minorHAnsi" w:eastAsia="Times New Roman" w:hAnsiTheme="minorHAnsi" w:cstheme="minorHAnsi"/>
                <w:b/>
                <w:bCs/>
                <w:sz w:val="22"/>
                <w:lang w:val="es-ES" w:eastAsia="es-ES"/>
              </w:rPr>
              <w:t xml:space="preserve"> </w:t>
            </w:r>
            <w:r w:rsidR="00822A61">
              <w:rPr>
                <w:rFonts w:asciiTheme="minorHAnsi" w:eastAsia="Times New Roman" w:hAnsiTheme="minorHAnsi" w:cstheme="minorHAnsi"/>
                <w:b/>
                <w:bCs/>
                <w:sz w:val="22"/>
                <w:lang w:val="es-ES" w:eastAsia="es-ES"/>
              </w:rPr>
              <w:t>709</w:t>
            </w:r>
            <w:r w:rsidRPr="00C04296">
              <w:rPr>
                <w:rFonts w:asciiTheme="minorHAnsi" w:eastAsia="Times New Roman" w:hAnsiTheme="minorHAnsi" w:cstheme="minorHAnsi"/>
                <w:b/>
                <w:bCs/>
                <w:sz w:val="22"/>
                <w:lang w:val="es-ES" w:eastAsia="es-ES"/>
              </w:rPr>
              <w:t xml:space="preserve"> </w:t>
            </w:r>
            <w:r w:rsidR="00822A61">
              <w:rPr>
                <w:rFonts w:asciiTheme="minorHAnsi" w:eastAsia="Times New Roman" w:hAnsiTheme="minorHAnsi" w:cstheme="minorHAnsi"/>
                <w:b/>
                <w:bCs/>
                <w:sz w:val="22"/>
                <w:lang w:val="es-ES" w:eastAsia="es-ES"/>
              </w:rPr>
              <w:t>600</w:t>
            </w:r>
            <w:r w:rsidRPr="00C04296">
              <w:rPr>
                <w:rFonts w:asciiTheme="minorHAnsi" w:eastAsia="Times New Roman" w:hAnsiTheme="minorHAnsi" w:cstheme="minorHAnsi"/>
                <w:b/>
                <w:bCs/>
                <w:sz w:val="22"/>
                <w:lang w:val="es-ES" w:eastAsia="es-ES"/>
              </w:rPr>
              <w:t>,</w:t>
            </w:r>
            <w:r w:rsidR="00822A61">
              <w:rPr>
                <w:rFonts w:asciiTheme="minorHAnsi" w:eastAsia="Times New Roman" w:hAnsiTheme="minorHAnsi" w:cstheme="minorHAnsi"/>
                <w:b/>
                <w:bCs/>
                <w:sz w:val="22"/>
                <w:lang w:val="es-ES" w:eastAsia="es-ES"/>
              </w:rPr>
              <w:t>73</w:t>
            </w:r>
            <w:r w:rsidRPr="00C04296">
              <w:rPr>
                <w:rFonts w:asciiTheme="minorHAnsi" w:eastAsia="Times New Roman" w:hAnsiTheme="minorHAnsi" w:cstheme="minorHAnsi"/>
                <w:b/>
                <w:bCs/>
                <w:sz w:val="22"/>
                <w:lang w:val="es-ES" w:eastAsia="es-ES"/>
              </w:rPr>
              <w:t xml:space="preserve"> </w:t>
            </w:r>
          </w:p>
        </w:tc>
      </w:tr>
    </w:tbl>
    <w:p w14:paraId="7E97E46F" w14:textId="77777777" w:rsidR="00C04296" w:rsidRPr="00C04296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</w:pPr>
    </w:p>
    <w:p w14:paraId="6274AB80" w14:textId="5F16110F" w:rsidR="00C04296" w:rsidRPr="00F57955" w:rsidRDefault="00C04296" w:rsidP="0057129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</w:pPr>
      <w:r w:rsidRPr="00F57955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F-03 “Comprometer los montos de proyectos Art. 59 de los recursos disponibles” se cumple en un 100%, ingresaron </w:t>
      </w:r>
      <w:r w:rsidR="009A5287" w:rsidRPr="00F57955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13</w:t>
      </w:r>
      <w:r w:rsidRPr="00F57955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 proyectos </w:t>
      </w:r>
      <w:r w:rsidR="00F57955" w:rsidRPr="00F57955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en el II semestre 2020 </w:t>
      </w:r>
      <w:r w:rsidRPr="00F57955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de los cuales solo se aprobaron 1</w:t>
      </w:r>
      <w:r w:rsidR="00F92490" w:rsidRPr="00F57955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2</w:t>
      </w:r>
      <w:r w:rsidRPr="00F57955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 xml:space="preserve"> con presupuesto asignado; </w:t>
      </w:r>
      <w:r w:rsidR="00F57955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e</w:t>
      </w:r>
      <w:r w:rsidRPr="00F57955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n el siguiente cuadro No. 1</w:t>
      </w:r>
      <w:r w:rsidR="002453FA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1</w:t>
      </w:r>
      <w:r w:rsidRPr="00F57955"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  <w:t>, se presenta el detalle de los proyectos.</w:t>
      </w:r>
    </w:p>
    <w:p w14:paraId="30E4495C" w14:textId="77777777" w:rsidR="00C04296" w:rsidRPr="00C04296" w:rsidRDefault="00C04296" w:rsidP="00C04296">
      <w:pPr>
        <w:spacing w:after="0" w:line="240" w:lineRule="auto"/>
        <w:ind w:left="426"/>
        <w:contextualSpacing/>
        <w:jc w:val="both"/>
        <w:rPr>
          <w:rFonts w:asciiTheme="minorHAnsi" w:eastAsia="Times New Roman" w:hAnsiTheme="minorHAnsi" w:cstheme="minorHAnsi"/>
          <w:sz w:val="22"/>
          <w:szCs w:val="23"/>
          <w:lang w:val="es-MX" w:eastAsia="es-ES"/>
        </w:rPr>
      </w:pPr>
    </w:p>
    <w:p w14:paraId="5D1155DD" w14:textId="72898551" w:rsidR="00C04296" w:rsidRPr="002453FA" w:rsidRDefault="00C04296" w:rsidP="00C04296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smallCaps/>
          <w:color w:val="000000"/>
          <w:sz w:val="22"/>
          <w:lang w:val="es-ES" w:eastAsia="es-ES"/>
        </w:rPr>
      </w:pPr>
      <w:r w:rsidRPr="002453FA">
        <w:rPr>
          <w:rFonts w:asciiTheme="minorHAnsi" w:eastAsia="Times New Roman" w:hAnsiTheme="minorHAnsi" w:cstheme="minorHAnsi"/>
          <w:b/>
          <w:smallCaps/>
          <w:color w:val="000000"/>
          <w:sz w:val="22"/>
          <w:lang w:val="es-ES" w:eastAsia="es-ES"/>
        </w:rPr>
        <w:t>Cuadro No. 1</w:t>
      </w:r>
      <w:r w:rsidR="002453FA">
        <w:rPr>
          <w:rFonts w:asciiTheme="minorHAnsi" w:eastAsia="Times New Roman" w:hAnsiTheme="minorHAnsi" w:cstheme="minorHAnsi"/>
          <w:b/>
          <w:smallCaps/>
          <w:color w:val="000000"/>
          <w:sz w:val="22"/>
          <w:lang w:val="es-ES" w:eastAsia="es-ES"/>
        </w:rPr>
        <w:t>1</w:t>
      </w:r>
    </w:p>
    <w:p w14:paraId="7D17EBA1" w14:textId="77777777" w:rsidR="00C04296" w:rsidRPr="002453FA" w:rsidRDefault="00C04296" w:rsidP="00C04296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smallCaps/>
          <w:color w:val="000000"/>
          <w:sz w:val="22"/>
          <w:lang w:val="es-ES" w:eastAsia="es-ES"/>
        </w:rPr>
      </w:pPr>
      <w:r w:rsidRPr="002453FA">
        <w:rPr>
          <w:rFonts w:asciiTheme="minorHAnsi" w:eastAsia="Times New Roman" w:hAnsiTheme="minorHAnsi" w:cstheme="minorHAnsi"/>
          <w:b/>
          <w:smallCaps/>
          <w:color w:val="000000"/>
          <w:sz w:val="22"/>
          <w:lang w:val="es-ES" w:eastAsia="es-ES"/>
        </w:rPr>
        <w:t>Detalle de proyectos Ingresados</w:t>
      </w:r>
    </w:p>
    <w:p w14:paraId="19B7725B" w14:textId="77777777" w:rsidR="00C04296" w:rsidRPr="00C04296" w:rsidRDefault="00C04296" w:rsidP="00C04296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smallCaps/>
          <w:color w:val="000000"/>
          <w:szCs w:val="24"/>
          <w:lang w:val="es-ES" w:eastAsia="es-ES"/>
        </w:rPr>
      </w:pPr>
    </w:p>
    <w:tbl>
      <w:tblPr>
        <w:tblW w:w="59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</w:tblGrid>
      <w:tr w:rsidR="00D7529B" w:rsidRPr="00C04296" w14:paraId="58D779E4" w14:textId="77777777" w:rsidTr="00D7529B">
        <w:trPr>
          <w:trHeight w:val="280"/>
          <w:tblHeader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AAD212" w14:textId="77777777" w:rsidR="00D7529B" w:rsidRPr="00C04296" w:rsidRDefault="00D7529B" w:rsidP="00C042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ES" w:eastAsia="es-CR"/>
              </w:rPr>
            </w:pPr>
            <w:r w:rsidRPr="00C0429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ES" w:eastAsia="es-ES"/>
              </w:rPr>
              <w:t>Mes de ingreso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49BB2F" w14:textId="77777777" w:rsidR="00D7529B" w:rsidRPr="00C04296" w:rsidRDefault="00D7529B" w:rsidP="00C042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C0429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ES" w:eastAsia="es-ES"/>
              </w:rPr>
              <w:t>Nombre el Proyecto</w:t>
            </w:r>
          </w:p>
        </w:tc>
      </w:tr>
      <w:tr w:rsidR="00D7529B" w:rsidRPr="001A1FE0" w14:paraId="1E39A0BA" w14:textId="77777777" w:rsidTr="00D7529B">
        <w:tblPrEx>
          <w:jc w:val="left"/>
        </w:tblPrEx>
        <w:trPr>
          <w:trHeight w:val="33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8649" w14:textId="77777777" w:rsidR="00D7529B" w:rsidRPr="001A1FE0" w:rsidRDefault="00D7529B" w:rsidP="001A1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es-CR"/>
              </w:rPr>
            </w:pPr>
            <w:r w:rsidRPr="001A1FE0">
              <w:rPr>
                <w:rFonts w:ascii="Calibri" w:eastAsia="Times New Roman" w:hAnsi="Calibri" w:cs="Calibri"/>
                <w:sz w:val="22"/>
                <w:lang w:eastAsia="es-CR"/>
              </w:rPr>
              <w:t>dic-20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0682D" w14:textId="760CE6B7" w:rsidR="00D7529B" w:rsidRPr="001A1FE0" w:rsidRDefault="00D7529B" w:rsidP="00D7529B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es-CR"/>
              </w:rPr>
            </w:pPr>
            <w:r w:rsidRPr="001A1FE0">
              <w:rPr>
                <w:rFonts w:ascii="Calibri" w:eastAsia="Times New Roman" w:hAnsi="Calibri" w:cs="Calibri"/>
                <w:sz w:val="22"/>
                <w:lang w:eastAsia="es-CR"/>
              </w:rPr>
              <w:t>Barrio Tierra Prometida</w:t>
            </w:r>
          </w:p>
        </w:tc>
      </w:tr>
      <w:tr w:rsidR="00D7529B" w:rsidRPr="001A1FE0" w14:paraId="10E367DF" w14:textId="77777777" w:rsidTr="00D7529B">
        <w:tblPrEx>
          <w:jc w:val="left"/>
        </w:tblPrEx>
        <w:trPr>
          <w:trHeight w:val="2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C99A" w14:textId="77777777" w:rsidR="00D7529B" w:rsidRPr="001A1FE0" w:rsidRDefault="00D7529B" w:rsidP="001A1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es-CR"/>
              </w:rPr>
            </w:pPr>
            <w:r w:rsidRPr="001A1FE0">
              <w:rPr>
                <w:rFonts w:ascii="Calibri" w:eastAsia="Times New Roman" w:hAnsi="Calibri" w:cs="Calibri"/>
                <w:sz w:val="22"/>
                <w:lang w:eastAsia="es-CR"/>
              </w:rPr>
              <w:t>ago-20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DDE1B" w14:textId="45D03FB9" w:rsidR="00D7529B" w:rsidRPr="001A1FE0" w:rsidRDefault="00D7529B" w:rsidP="00D752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es-CR"/>
              </w:rPr>
            </w:pPr>
            <w:r w:rsidRPr="001A1FE0">
              <w:rPr>
                <w:rFonts w:ascii="Calibri" w:eastAsia="Times New Roman" w:hAnsi="Calibri" w:cs="Calibri"/>
                <w:sz w:val="22"/>
                <w:lang w:eastAsia="es-CR"/>
              </w:rPr>
              <w:t>Parque Recreativo Jorge Debravo</w:t>
            </w:r>
          </w:p>
        </w:tc>
      </w:tr>
      <w:tr w:rsidR="00D7529B" w:rsidRPr="001A1FE0" w14:paraId="0E53C31E" w14:textId="77777777" w:rsidTr="00D7529B">
        <w:tblPrEx>
          <w:jc w:val="left"/>
        </w:tblPrEx>
        <w:trPr>
          <w:trHeight w:val="2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898F" w14:textId="77777777" w:rsidR="00D7529B" w:rsidRPr="001A1FE0" w:rsidRDefault="00D7529B" w:rsidP="001A1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es-CR"/>
              </w:rPr>
            </w:pPr>
            <w:r w:rsidRPr="001A1FE0">
              <w:rPr>
                <w:rFonts w:ascii="Calibri" w:eastAsia="Times New Roman" w:hAnsi="Calibri" w:cs="Calibri"/>
                <w:sz w:val="22"/>
                <w:lang w:eastAsia="es-CR"/>
              </w:rPr>
              <w:t>jul-20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E31F4" w14:textId="0D29ECFA" w:rsidR="00D7529B" w:rsidRPr="001A1FE0" w:rsidRDefault="00D7529B" w:rsidP="00D752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es-CR"/>
              </w:rPr>
            </w:pPr>
            <w:r w:rsidRPr="001A1FE0">
              <w:rPr>
                <w:rFonts w:ascii="Calibri" w:eastAsia="Times New Roman" w:hAnsi="Calibri" w:cs="Calibri"/>
                <w:sz w:val="22"/>
                <w:lang w:eastAsia="es-CR"/>
              </w:rPr>
              <w:t>Poás Identidad y Progreso</w:t>
            </w:r>
          </w:p>
        </w:tc>
      </w:tr>
      <w:tr w:rsidR="00D7529B" w:rsidRPr="001A1FE0" w14:paraId="7402F77D" w14:textId="77777777" w:rsidTr="00D7529B">
        <w:tblPrEx>
          <w:jc w:val="left"/>
        </w:tblPrEx>
        <w:trPr>
          <w:trHeight w:val="2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1A02" w14:textId="77777777" w:rsidR="00D7529B" w:rsidRPr="001A1FE0" w:rsidRDefault="00D7529B" w:rsidP="001A1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es-CR"/>
              </w:rPr>
            </w:pPr>
            <w:r w:rsidRPr="001A1FE0">
              <w:rPr>
                <w:rFonts w:ascii="Calibri" w:eastAsia="Times New Roman" w:hAnsi="Calibri" w:cs="Calibri"/>
                <w:sz w:val="22"/>
                <w:lang w:eastAsia="es-CR"/>
              </w:rPr>
              <w:t>ago-20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F9CD7" w14:textId="4C0CDF46" w:rsidR="00D7529B" w:rsidRPr="001A1FE0" w:rsidRDefault="00D7529B" w:rsidP="00D752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es-CR"/>
              </w:rPr>
            </w:pPr>
            <w:r w:rsidRPr="001A1FE0">
              <w:rPr>
                <w:rFonts w:ascii="Calibri" w:eastAsia="Times New Roman" w:hAnsi="Calibri" w:cs="Calibri"/>
                <w:sz w:val="22"/>
                <w:lang w:eastAsia="es-CR"/>
              </w:rPr>
              <w:t>Parque Esparcimiento La Cima</w:t>
            </w:r>
          </w:p>
        </w:tc>
      </w:tr>
      <w:tr w:rsidR="00D7529B" w:rsidRPr="001A1FE0" w14:paraId="70F8F119" w14:textId="77777777" w:rsidTr="00D7529B">
        <w:tblPrEx>
          <w:jc w:val="left"/>
        </w:tblPrEx>
        <w:trPr>
          <w:trHeight w:val="2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59FE" w14:textId="77777777" w:rsidR="00D7529B" w:rsidRPr="001A1FE0" w:rsidRDefault="00D7529B" w:rsidP="001A1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es-CR"/>
              </w:rPr>
            </w:pPr>
            <w:r w:rsidRPr="001A1FE0">
              <w:rPr>
                <w:rFonts w:ascii="Calibri" w:eastAsia="Times New Roman" w:hAnsi="Calibri" w:cs="Calibri"/>
                <w:sz w:val="22"/>
                <w:lang w:eastAsia="es-CR"/>
              </w:rPr>
              <w:t>dic-20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2282F" w14:textId="7F42D15E" w:rsidR="00D7529B" w:rsidRPr="001A1FE0" w:rsidRDefault="00D7529B" w:rsidP="00D752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es-CR"/>
              </w:rPr>
            </w:pPr>
            <w:r w:rsidRPr="001A1FE0">
              <w:rPr>
                <w:rFonts w:ascii="Calibri" w:eastAsia="Times New Roman" w:hAnsi="Calibri" w:cs="Calibri"/>
                <w:sz w:val="22"/>
                <w:lang w:eastAsia="es-CR"/>
              </w:rPr>
              <w:t xml:space="preserve">Corrales de Bambú </w:t>
            </w:r>
          </w:p>
        </w:tc>
      </w:tr>
      <w:tr w:rsidR="00D7529B" w:rsidRPr="001A1FE0" w14:paraId="7D72E697" w14:textId="77777777" w:rsidTr="00D7529B">
        <w:tblPrEx>
          <w:jc w:val="left"/>
        </w:tblPrEx>
        <w:trPr>
          <w:trHeight w:val="2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411F" w14:textId="77777777" w:rsidR="00D7529B" w:rsidRPr="001A1FE0" w:rsidRDefault="00D7529B" w:rsidP="001A1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es-CR"/>
              </w:rPr>
            </w:pPr>
            <w:r w:rsidRPr="001A1FE0">
              <w:rPr>
                <w:rFonts w:ascii="Calibri" w:eastAsia="Times New Roman" w:hAnsi="Calibri" w:cs="Calibri"/>
                <w:sz w:val="22"/>
                <w:lang w:eastAsia="es-CR"/>
              </w:rPr>
              <w:t>nov-20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D119D" w14:textId="26BF139E" w:rsidR="00D7529B" w:rsidRPr="001A1FE0" w:rsidRDefault="00D7529B" w:rsidP="00D752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es-CR"/>
              </w:rPr>
            </w:pPr>
            <w:r w:rsidRPr="001A1FE0">
              <w:rPr>
                <w:rFonts w:ascii="Calibri" w:eastAsia="Times New Roman" w:hAnsi="Calibri" w:cs="Calibri"/>
                <w:sz w:val="22"/>
                <w:lang w:eastAsia="es-CR"/>
              </w:rPr>
              <w:t xml:space="preserve">Corina Rodriguez </w:t>
            </w:r>
          </w:p>
        </w:tc>
      </w:tr>
      <w:tr w:rsidR="00D7529B" w:rsidRPr="001A1FE0" w14:paraId="39C8D129" w14:textId="77777777" w:rsidTr="00D7529B">
        <w:tblPrEx>
          <w:jc w:val="left"/>
        </w:tblPrEx>
        <w:trPr>
          <w:trHeight w:val="2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3BB9" w14:textId="77777777" w:rsidR="00D7529B" w:rsidRPr="001A1FE0" w:rsidRDefault="00D7529B" w:rsidP="001A1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es-CR"/>
              </w:rPr>
            </w:pPr>
            <w:r w:rsidRPr="001A1FE0">
              <w:rPr>
                <w:rFonts w:ascii="Calibri" w:eastAsia="Times New Roman" w:hAnsi="Calibri" w:cs="Calibri"/>
                <w:sz w:val="22"/>
                <w:lang w:eastAsia="es-CR"/>
              </w:rPr>
              <w:t>dic-20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0EE44" w14:textId="080B4A0B" w:rsidR="00D7529B" w:rsidRPr="001A1FE0" w:rsidRDefault="00D7529B" w:rsidP="00D752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es-CR"/>
              </w:rPr>
            </w:pPr>
            <w:proofErr w:type="spellStart"/>
            <w:r w:rsidRPr="001A1FE0">
              <w:rPr>
                <w:rFonts w:ascii="Calibri" w:eastAsia="Times New Roman" w:hAnsi="Calibri" w:cs="Calibri"/>
                <w:sz w:val="22"/>
                <w:lang w:eastAsia="es-CR"/>
              </w:rPr>
              <w:t>Ecocultural</w:t>
            </w:r>
            <w:proofErr w:type="spellEnd"/>
            <w:r w:rsidRPr="001A1FE0">
              <w:rPr>
                <w:rFonts w:ascii="Calibri" w:eastAsia="Times New Roman" w:hAnsi="Calibri" w:cs="Calibri"/>
                <w:sz w:val="22"/>
                <w:lang w:eastAsia="es-CR"/>
              </w:rPr>
              <w:t xml:space="preserve"> San Isidro </w:t>
            </w:r>
          </w:p>
        </w:tc>
      </w:tr>
      <w:tr w:rsidR="00D7529B" w:rsidRPr="001A1FE0" w14:paraId="5F0822D8" w14:textId="77777777" w:rsidTr="00D7529B">
        <w:tblPrEx>
          <w:jc w:val="left"/>
        </w:tblPrEx>
        <w:trPr>
          <w:trHeight w:val="2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F061" w14:textId="77777777" w:rsidR="00D7529B" w:rsidRPr="001A1FE0" w:rsidRDefault="00D7529B" w:rsidP="001A1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es-CR"/>
              </w:rPr>
            </w:pPr>
            <w:r w:rsidRPr="001A1FE0">
              <w:rPr>
                <w:rFonts w:ascii="Calibri" w:eastAsia="Times New Roman" w:hAnsi="Calibri" w:cs="Calibri"/>
                <w:sz w:val="22"/>
                <w:lang w:eastAsia="es-CR"/>
              </w:rPr>
              <w:t>nov-20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E94F3" w14:textId="6B135942" w:rsidR="00D7529B" w:rsidRPr="001A1FE0" w:rsidRDefault="00D7529B" w:rsidP="00D7529B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es-CR"/>
              </w:rPr>
            </w:pPr>
            <w:r w:rsidRPr="001A1FE0">
              <w:rPr>
                <w:rFonts w:ascii="Calibri" w:eastAsia="Times New Roman" w:hAnsi="Calibri" w:cs="Calibri"/>
                <w:sz w:val="22"/>
                <w:lang w:eastAsia="es-CR"/>
              </w:rPr>
              <w:t>Malinche V</w:t>
            </w:r>
          </w:p>
        </w:tc>
      </w:tr>
      <w:tr w:rsidR="00D7529B" w:rsidRPr="001A1FE0" w14:paraId="078A6910" w14:textId="77777777" w:rsidTr="00D7529B">
        <w:tblPrEx>
          <w:jc w:val="left"/>
        </w:tblPrEx>
        <w:trPr>
          <w:trHeight w:val="2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900F" w14:textId="77777777" w:rsidR="00D7529B" w:rsidRPr="001A1FE0" w:rsidRDefault="00D7529B" w:rsidP="00D752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es-CR"/>
              </w:rPr>
            </w:pPr>
            <w:r w:rsidRPr="001A1FE0">
              <w:rPr>
                <w:rFonts w:ascii="Calibri" w:eastAsia="Times New Roman" w:hAnsi="Calibri" w:cs="Calibri"/>
                <w:sz w:val="22"/>
                <w:lang w:eastAsia="es-CR"/>
              </w:rPr>
              <w:t>oct-20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C7641" w14:textId="0F6A56F1" w:rsidR="00D7529B" w:rsidRPr="001A1FE0" w:rsidRDefault="00D7529B" w:rsidP="00D7529B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es-CR"/>
              </w:rPr>
            </w:pPr>
            <w:r w:rsidRPr="001A1FE0">
              <w:rPr>
                <w:rFonts w:ascii="Calibri" w:eastAsia="Times New Roman" w:hAnsi="Calibri" w:cs="Calibri"/>
                <w:sz w:val="22"/>
                <w:lang w:eastAsia="es-CR"/>
              </w:rPr>
              <w:t>Lomas del Valle</w:t>
            </w:r>
          </w:p>
        </w:tc>
      </w:tr>
      <w:tr w:rsidR="00D7529B" w:rsidRPr="001A1FE0" w14:paraId="0515EB9A" w14:textId="77777777" w:rsidTr="00D7529B">
        <w:tblPrEx>
          <w:jc w:val="left"/>
        </w:tblPrEx>
        <w:trPr>
          <w:trHeight w:val="2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4D46" w14:textId="77777777" w:rsidR="00D7529B" w:rsidRPr="001A1FE0" w:rsidRDefault="00D7529B" w:rsidP="00D752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es-CR"/>
              </w:rPr>
            </w:pPr>
            <w:r w:rsidRPr="001A1FE0">
              <w:rPr>
                <w:rFonts w:ascii="Calibri" w:eastAsia="Times New Roman" w:hAnsi="Calibri" w:cs="Calibri"/>
                <w:sz w:val="22"/>
                <w:lang w:eastAsia="es-CR"/>
              </w:rPr>
              <w:t>sep-20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A54B1" w14:textId="007AD4D7" w:rsidR="00D7529B" w:rsidRPr="001A1FE0" w:rsidRDefault="00D7529B" w:rsidP="00D7529B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es-CR"/>
              </w:rPr>
            </w:pPr>
            <w:r w:rsidRPr="001A1FE0">
              <w:rPr>
                <w:rFonts w:ascii="Calibri" w:eastAsia="Times New Roman" w:hAnsi="Calibri" w:cs="Calibri"/>
                <w:sz w:val="22"/>
                <w:lang w:eastAsia="es-CR"/>
              </w:rPr>
              <w:t xml:space="preserve">Los Almendros </w:t>
            </w:r>
          </w:p>
        </w:tc>
      </w:tr>
      <w:tr w:rsidR="00D7529B" w:rsidRPr="001A1FE0" w14:paraId="65DE3818" w14:textId="77777777" w:rsidTr="00D7529B">
        <w:tblPrEx>
          <w:jc w:val="left"/>
        </w:tblPrEx>
        <w:trPr>
          <w:trHeight w:val="2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30E9" w14:textId="77777777" w:rsidR="00D7529B" w:rsidRPr="001A1FE0" w:rsidRDefault="00D7529B" w:rsidP="00D752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es-CR"/>
              </w:rPr>
            </w:pPr>
            <w:r w:rsidRPr="001A1FE0">
              <w:rPr>
                <w:rFonts w:ascii="Calibri" w:eastAsia="Times New Roman" w:hAnsi="Calibri" w:cs="Calibri"/>
                <w:sz w:val="22"/>
                <w:lang w:eastAsia="es-CR"/>
              </w:rPr>
              <w:t>sep-20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D3CCD" w14:textId="604AF8CD" w:rsidR="00D7529B" w:rsidRPr="001A1FE0" w:rsidRDefault="00D7529B" w:rsidP="00D7529B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es-CR"/>
              </w:rPr>
            </w:pPr>
            <w:r w:rsidRPr="001A1FE0">
              <w:rPr>
                <w:rFonts w:ascii="Calibri" w:eastAsia="Times New Roman" w:hAnsi="Calibri" w:cs="Calibri"/>
                <w:sz w:val="22"/>
                <w:lang w:eastAsia="es-CR"/>
              </w:rPr>
              <w:t>Malinche IV</w:t>
            </w:r>
          </w:p>
        </w:tc>
      </w:tr>
      <w:tr w:rsidR="00D7529B" w:rsidRPr="001A1FE0" w14:paraId="110D3981" w14:textId="77777777" w:rsidTr="00D7529B">
        <w:tblPrEx>
          <w:jc w:val="left"/>
        </w:tblPrEx>
        <w:trPr>
          <w:trHeight w:val="2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1AE888" w14:textId="77777777" w:rsidR="00D7529B" w:rsidRPr="001A1FE0" w:rsidRDefault="00D7529B" w:rsidP="00D752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es-CR"/>
              </w:rPr>
            </w:pPr>
            <w:r w:rsidRPr="001A1FE0">
              <w:rPr>
                <w:rFonts w:ascii="Calibri" w:eastAsia="Times New Roman" w:hAnsi="Calibri" w:cs="Calibri"/>
                <w:sz w:val="22"/>
                <w:lang w:eastAsia="es-CR"/>
              </w:rPr>
              <w:t>jul-20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576DE4" w14:textId="6F3576B1" w:rsidR="00D7529B" w:rsidRPr="001A1FE0" w:rsidRDefault="00D7529B" w:rsidP="00D7529B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es-CR"/>
              </w:rPr>
            </w:pPr>
            <w:r w:rsidRPr="001A1FE0">
              <w:rPr>
                <w:rFonts w:ascii="Calibri" w:eastAsia="Times New Roman" w:hAnsi="Calibri" w:cs="Calibri"/>
                <w:sz w:val="22"/>
                <w:lang w:eastAsia="es-CR"/>
              </w:rPr>
              <w:t>Corazón de Jesús</w:t>
            </w:r>
          </w:p>
        </w:tc>
      </w:tr>
    </w:tbl>
    <w:p w14:paraId="2EE6B2BA" w14:textId="0A0B35E9" w:rsidR="00F9202B" w:rsidRDefault="00F9202B" w:rsidP="00C04296">
      <w:pPr>
        <w:spacing w:after="0" w:line="240" w:lineRule="auto"/>
        <w:rPr>
          <w:rFonts w:ascii="Calibri" w:eastAsia="Times New Roman" w:hAnsi="Calibri" w:cs="Calibri"/>
          <w:sz w:val="20"/>
          <w:szCs w:val="10"/>
          <w:lang w:eastAsia="es-ES"/>
        </w:rPr>
      </w:pPr>
    </w:p>
    <w:p w14:paraId="62E37C27" w14:textId="77777777" w:rsidR="00B87792" w:rsidRPr="00E60703" w:rsidRDefault="00B87792" w:rsidP="00C04296">
      <w:p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b/>
          <w:smallCaps/>
          <w:sz w:val="18"/>
          <w:szCs w:val="18"/>
          <w:lang w:eastAsia="es-ES"/>
        </w:rPr>
      </w:pPr>
    </w:p>
    <w:p w14:paraId="628414CC" w14:textId="6B4CCFFD" w:rsidR="00C04296" w:rsidRPr="00C04296" w:rsidRDefault="00C04296" w:rsidP="00B66740">
      <w:pPr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smallCaps/>
          <w:sz w:val="26"/>
          <w:szCs w:val="26"/>
          <w:lang w:eastAsia="es-ES"/>
        </w:rPr>
      </w:pPr>
      <w:r w:rsidRPr="00C04296">
        <w:rPr>
          <w:rFonts w:asciiTheme="minorHAnsi" w:eastAsia="Times New Roman" w:hAnsiTheme="minorHAnsi" w:cstheme="minorHAnsi"/>
          <w:b/>
          <w:smallCaps/>
          <w:sz w:val="26"/>
          <w:szCs w:val="26"/>
          <w:lang w:eastAsia="es-ES"/>
        </w:rPr>
        <w:t>Conclusiones</w:t>
      </w:r>
      <w:r w:rsidR="00E860B5">
        <w:rPr>
          <w:rFonts w:asciiTheme="minorHAnsi" w:eastAsia="Times New Roman" w:hAnsiTheme="minorHAnsi" w:cstheme="minorHAnsi"/>
          <w:b/>
          <w:smallCaps/>
          <w:sz w:val="26"/>
          <w:szCs w:val="26"/>
          <w:lang w:eastAsia="es-ES"/>
        </w:rPr>
        <w:t xml:space="preserve"> </w:t>
      </w:r>
    </w:p>
    <w:p w14:paraId="001ED1AC" w14:textId="77777777" w:rsidR="00C04296" w:rsidRPr="00E60703" w:rsidRDefault="00C04296" w:rsidP="00C0429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mallCaps/>
          <w:sz w:val="18"/>
          <w:szCs w:val="18"/>
          <w:lang w:eastAsia="es-ES"/>
        </w:rPr>
      </w:pPr>
    </w:p>
    <w:p w14:paraId="395E54C1" w14:textId="657192A4" w:rsidR="00C04296" w:rsidRPr="00C04296" w:rsidRDefault="00C04296" w:rsidP="00317D80">
      <w:pPr>
        <w:spacing w:after="0" w:line="240" w:lineRule="auto"/>
        <w:ind w:right="-40"/>
        <w:contextualSpacing/>
        <w:jc w:val="both"/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</w:pPr>
      <w:bookmarkStart w:id="0" w:name="_Hlk34922404"/>
      <w:r w:rsidRPr="00C04296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>De conformidad con el seguimiento al Plan Estratégico 2016-2020 con corte al 31 de diciembre 20</w:t>
      </w:r>
      <w:r w:rsidR="00DA61C2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>20</w:t>
      </w:r>
      <w:r w:rsidRPr="00C04296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 xml:space="preserve"> </w:t>
      </w:r>
      <w:r w:rsidRPr="00C04296">
        <w:rPr>
          <w:rFonts w:asciiTheme="minorHAnsi" w:eastAsia="Times New Roman" w:hAnsiTheme="minorHAnsi" w:cs="Times New Roman"/>
          <w:sz w:val="22"/>
          <w:szCs w:val="23"/>
          <w:lang w:val="es-ES" w:eastAsia="es-ES"/>
        </w:rPr>
        <w:t>se</w:t>
      </w:r>
      <w:r w:rsidRPr="00C04296">
        <w:rPr>
          <w:rFonts w:eastAsia="Times New Roman" w:cs="Times New Roman"/>
          <w:sz w:val="22"/>
          <w:szCs w:val="24"/>
          <w:lang w:val="es-ES" w:eastAsia="es-ES"/>
        </w:rPr>
        <w:t xml:space="preserve"> </w:t>
      </w:r>
      <w:r w:rsidRPr="00C04296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 xml:space="preserve">determina una ejecución del </w:t>
      </w:r>
      <w:r w:rsidR="00DA61C2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>76</w:t>
      </w:r>
      <w:r w:rsidRPr="00C04296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 xml:space="preserve">%. Dicho porcentaje, según los parámetros establecidos se ubica en el rango </w:t>
      </w:r>
      <w:r w:rsidRPr="00C04296">
        <w:rPr>
          <w:rFonts w:asciiTheme="minorHAnsi" w:eastAsia="Times New Roman" w:hAnsiTheme="minorHAnsi" w:cstheme="minorHAnsi"/>
          <w:sz w:val="22"/>
          <w:szCs w:val="23"/>
          <w:u w:val="single"/>
          <w:lang w:val="es-ES" w:eastAsia="es-ES"/>
        </w:rPr>
        <w:t>ACEPTABLE</w:t>
      </w:r>
      <w:r w:rsidRPr="00C04296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 xml:space="preserve">; el cual se vio afectado por la gestión que a la fecha se registra para cumplir con las iniciativas estratégicas de </w:t>
      </w:r>
      <w:r w:rsidR="00732B7A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 xml:space="preserve">estos </w:t>
      </w:r>
      <w:r w:rsidRPr="00C04296"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  <w:t xml:space="preserve">objetivos estratégicos, a saber: </w:t>
      </w:r>
    </w:p>
    <w:p w14:paraId="72E63C77" w14:textId="3DF2579C" w:rsidR="00C04296" w:rsidRPr="00E60703" w:rsidRDefault="00C04296" w:rsidP="00C04296">
      <w:pPr>
        <w:spacing w:after="0" w:line="240" w:lineRule="auto"/>
        <w:ind w:left="720" w:right="-40"/>
        <w:contextualSpacing/>
        <w:jc w:val="both"/>
        <w:rPr>
          <w:rFonts w:asciiTheme="minorHAnsi" w:eastAsia="Times New Roman" w:hAnsiTheme="minorHAnsi" w:cstheme="minorHAnsi"/>
          <w:sz w:val="18"/>
          <w:szCs w:val="18"/>
          <w:lang w:val="es-ES" w:eastAsia="es-ES"/>
        </w:rPr>
      </w:pPr>
    </w:p>
    <w:p w14:paraId="2A0E77BB" w14:textId="7DD8D7FE" w:rsidR="00C04296" w:rsidRPr="00667DA7" w:rsidRDefault="00667DA7" w:rsidP="00667DA7">
      <w:pPr>
        <w:pStyle w:val="Prrafodelista"/>
        <w:numPr>
          <w:ilvl w:val="0"/>
          <w:numId w:val="13"/>
        </w:numPr>
        <w:ind w:right="-40"/>
        <w:jc w:val="both"/>
        <w:rPr>
          <w:rFonts w:ascii="Calibri" w:hAnsi="Calibri"/>
          <w:color w:val="000000"/>
          <w:sz w:val="22"/>
          <w:szCs w:val="22"/>
          <w:lang w:eastAsia="es-CR"/>
        </w:rPr>
      </w:pPr>
      <w:r w:rsidRPr="00667DA7">
        <w:rPr>
          <w:rFonts w:ascii="Calibri" w:hAnsi="Calibri"/>
          <w:color w:val="000000"/>
          <w:sz w:val="22"/>
          <w:szCs w:val="22"/>
          <w:lang w:eastAsia="es-CR"/>
        </w:rPr>
        <w:t>PCO-03 Implementar los proyectos de TI satisfactoriamente</w:t>
      </w:r>
    </w:p>
    <w:p w14:paraId="02E331A0" w14:textId="60CBFC6D" w:rsidR="00667DA7" w:rsidRPr="00667DA7" w:rsidRDefault="00667DA7" w:rsidP="00667DA7">
      <w:pPr>
        <w:pStyle w:val="Prrafodelista"/>
        <w:numPr>
          <w:ilvl w:val="0"/>
          <w:numId w:val="13"/>
        </w:numPr>
        <w:ind w:right="-40"/>
        <w:jc w:val="both"/>
        <w:rPr>
          <w:rFonts w:asciiTheme="minorHAnsi" w:hAnsiTheme="minorHAnsi" w:cstheme="minorHAnsi"/>
          <w:sz w:val="22"/>
          <w:szCs w:val="22"/>
        </w:rPr>
      </w:pPr>
      <w:r w:rsidRPr="00667DA7">
        <w:rPr>
          <w:rFonts w:asciiTheme="minorHAnsi" w:hAnsiTheme="minorHAnsi" w:cstheme="minorHAnsi"/>
          <w:sz w:val="22"/>
          <w:szCs w:val="22"/>
        </w:rPr>
        <w:t>PI-01 Tramitar con agilidad los subsidios art. 59</w:t>
      </w:r>
    </w:p>
    <w:p w14:paraId="0C9FC6AE" w14:textId="5835767A" w:rsidR="00667DA7" w:rsidRPr="00667DA7" w:rsidRDefault="00667DA7" w:rsidP="00667DA7">
      <w:pPr>
        <w:pStyle w:val="Prrafodelista"/>
        <w:numPr>
          <w:ilvl w:val="0"/>
          <w:numId w:val="13"/>
        </w:numPr>
        <w:ind w:right="-40"/>
        <w:jc w:val="both"/>
        <w:rPr>
          <w:rFonts w:asciiTheme="minorHAnsi" w:hAnsiTheme="minorHAnsi" w:cstheme="minorHAnsi"/>
          <w:sz w:val="22"/>
          <w:szCs w:val="22"/>
        </w:rPr>
      </w:pPr>
      <w:r w:rsidRPr="00667DA7">
        <w:rPr>
          <w:rFonts w:asciiTheme="minorHAnsi" w:hAnsiTheme="minorHAnsi" w:cstheme="minorHAnsi"/>
          <w:sz w:val="22"/>
          <w:szCs w:val="22"/>
        </w:rPr>
        <w:t>PI-04 Ejecutar eficazmente los fondos destinados a bonos comunales</w:t>
      </w:r>
    </w:p>
    <w:p w14:paraId="160F0089" w14:textId="514A03C2" w:rsidR="00667DA7" w:rsidRPr="00667DA7" w:rsidRDefault="00667DA7" w:rsidP="00667DA7">
      <w:pPr>
        <w:pStyle w:val="Prrafodelista"/>
        <w:numPr>
          <w:ilvl w:val="0"/>
          <w:numId w:val="13"/>
        </w:numPr>
        <w:ind w:right="-40"/>
        <w:jc w:val="both"/>
        <w:rPr>
          <w:rFonts w:asciiTheme="minorHAnsi" w:hAnsiTheme="minorHAnsi" w:cstheme="minorHAnsi"/>
          <w:sz w:val="22"/>
          <w:szCs w:val="22"/>
        </w:rPr>
      </w:pPr>
      <w:r w:rsidRPr="00667DA7">
        <w:rPr>
          <w:rFonts w:asciiTheme="minorHAnsi" w:hAnsiTheme="minorHAnsi" w:cstheme="minorHAnsi"/>
          <w:sz w:val="22"/>
          <w:szCs w:val="22"/>
        </w:rPr>
        <w:t>PI-05 Mejorar el índice de eficiencia de las Entidades Autorizadas</w:t>
      </w:r>
    </w:p>
    <w:p w14:paraId="1F7F0ABC" w14:textId="70A17B7A" w:rsidR="00667DA7" w:rsidRPr="00667DA7" w:rsidRDefault="00667DA7" w:rsidP="00667DA7">
      <w:pPr>
        <w:pStyle w:val="Prrafodelista"/>
        <w:numPr>
          <w:ilvl w:val="0"/>
          <w:numId w:val="13"/>
        </w:numPr>
        <w:ind w:right="-40"/>
        <w:jc w:val="both"/>
        <w:rPr>
          <w:rFonts w:asciiTheme="minorHAnsi" w:hAnsiTheme="minorHAnsi" w:cstheme="minorHAnsi"/>
          <w:sz w:val="22"/>
          <w:szCs w:val="22"/>
        </w:rPr>
      </w:pPr>
      <w:r w:rsidRPr="00667DA7">
        <w:rPr>
          <w:rFonts w:asciiTheme="minorHAnsi" w:hAnsiTheme="minorHAnsi" w:cstheme="minorHAnsi"/>
          <w:sz w:val="22"/>
          <w:szCs w:val="22"/>
        </w:rPr>
        <w:t>PI-06 Atender oportunamente las recomendaciones de los órganos de control</w:t>
      </w:r>
    </w:p>
    <w:p w14:paraId="7E0AF3C6" w14:textId="163E95AC" w:rsidR="00667DA7" w:rsidRPr="00667DA7" w:rsidRDefault="00667DA7" w:rsidP="00667DA7">
      <w:pPr>
        <w:pStyle w:val="Prrafodelista"/>
        <w:numPr>
          <w:ilvl w:val="0"/>
          <w:numId w:val="13"/>
        </w:numPr>
        <w:ind w:right="-40"/>
        <w:jc w:val="both"/>
        <w:rPr>
          <w:rFonts w:asciiTheme="minorHAnsi" w:hAnsiTheme="minorHAnsi" w:cstheme="minorHAnsi"/>
          <w:sz w:val="22"/>
          <w:szCs w:val="22"/>
        </w:rPr>
      </w:pPr>
      <w:r w:rsidRPr="00667DA7">
        <w:rPr>
          <w:rFonts w:asciiTheme="minorHAnsi" w:hAnsiTheme="minorHAnsi" w:cstheme="minorHAnsi"/>
          <w:sz w:val="22"/>
          <w:szCs w:val="22"/>
        </w:rPr>
        <w:t>PI-08 Mejorar un mayor aprovechamiento de bienes en fideicomisos</w:t>
      </w:r>
    </w:p>
    <w:p w14:paraId="7A00AF7D" w14:textId="1A06B9B2" w:rsidR="00667DA7" w:rsidRPr="00667DA7" w:rsidRDefault="00667DA7" w:rsidP="00667DA7">
      <w:pPr>
        <w:pStyle w:val="Prrafodelista"/>
        <w:numPr>
          <w:ilvl w:val="0"/>
          <w:numId w:val="13"/>
        </w:numPr>
        <w:ind w:right="-40"/>
        <w:jc w:val="both"/>
        <w:rPr>
          <w:rFonts w:asciiTheme="minorHAnsi" w:hAnsiTheme="minorHAnsi" w:cstheme="minorHAnsi"/>
          <w:sz w:val="22"/>
          <w:szCs w:val="22"/>
        </w:rPr>
      </w:pPr>
      <w:r w:rsidRPr="00667DA7">
        <w:rPr>
          <w:rFonts w:asciiTheme="minorHAnsi" w:hAnsiTheme="minorHAnsi" w:cstheme="minorHAnsi"/>
          <w:sz w:val="22"/>
          <w:szCs w:val="22"/>
        </w:rPr>
        <w:t>PI-09 Mejorar el ordenamiento administrativo</w:t>
      </w:r>
    </w:p>
    <w:p w14:paraId="0F0EA6E7" w14:textId="6CF80354" w:rsidR="00667DA7" w:rsidRPr="00667DA7" w:rsidRDefault="00667DA7" w:rsidP="00667DA7">
      <w:pPr>
        <w:pStyle w:val="Prrafodelista"/>
        <w:numPr>
          <w:ilvl w:val="0"/>
          <w:numId w:val="13"/>
        </w:numPr>
        <w:ind w:right="-40"/>
        <w:jc w:val="both"/>
        <w:rPr>
          <w:rFonts w:asciiTheme="minorHAnsi" w:hAnsiTheme="minorHAnsi" w:cstheme="minorHAnsi"/>
          <w:sz w:val="22"/>
          <w:szCs w:val="22"/>
        </w:rPr>
      </w:pPr>
      <w:r w:rsidRPr="00667DA7">
        <w:rPr>
          <w:rFonts w:asciiTheme="minorHAnsi" w:hAnsiTheme="minorHAnsi" w:cstheme="minorHAnsi"/>
          <w:sz w:val="22"/>
          <w:szCs w:val="22"/>
        </w:rPr>
        <w:t>PI-10 Simplificar los trámites en el BANHVI y Entidades Autorizadas en lo relacionado al proceso de aprobación de bonos familiares de vivienda y bonos comunales</w:t>
      </w:r>
    </w:p>
    <w:p w14:paraId="2043D07B" w14:textId="6EE03ACB" w:rsidR="00667DA7" w:rsidRDefault="00667DA7" w:rsidP="00C04296">
      <w:pPr>
        <w:spacing w:after="0" w:line="240" w:lineRule="auto"/>
        <w:ind w:right="-40"/>
        <w:jc w:val="both"/>
        <w:rPr>
          <w:rFonts w:asciiTheme="minorHAnsi" w:eastAsia="Times New Roman" w:hAnsiTheme="minorHAnsi" w:cstheme="minorHAnsi"/>
          <w:sz w:val="23"/>
          <w:szCs w:val="23"/>
          <w:lang w:val="es-ES" w:eastAsia="es-ES"/>
        </w:rPr>
      </w:pPr>
    </w:p>
    <w:p w14:paraId="2B3C7495" w14:textId="1EA7C1CF" w:rsidR="00486351" w:rsidRPr="003A0253" w:rsidRDefault="00486351" w:rsidP="00C04296">
      <w:pPr>
        <w:spacing w:after="0" w:line="240" w:lineRule="auto"/>
        <w:ind w:right="-40"/>
        <w:jc w:val="both"/>
        <w:rPr>
          <w:rFonts w:asciiTheme="minorHAnsi" w:eastAsia="Times New Roman" w:hAnsiTheme="minorHAnsi" w:cstheme="minorHAnsi"/>
          <w:sz w:val="22"/>
          <w:lang w:val="es-ES" w:eastAsia="es-ES"/>
        </w:rPr>
      </w:pPr>
      <w:r w:rsidRPr="003A0253">
        <w:rPr>
          <w:rFonts w:asciiTheme="minorHAnsi" w:eastAsia="Times New Roman" w:hAnsiTheme="minorHAnsi" w:cstheme="minorHAnsi"/>
          <w:sz w:val="22"/>
          <w:lang w:val="es-ES" w:eastAsia="es-ES"/>
        </w:rPr>
        <w:t>Como complemento a la ejecución del PEI a diciembre 2020, se realiza propuesta de ajustes en objetivos estratégicos para llevarlo a su conclusión a diciembre 2021, según resultados del análisis presentado en el UPI-ME-217-2020.</w:t>
      </w:r>
    </w:p>
    <w:bookmarkEnd w:id="0"/>
    <w:p w14:paraId="110F8FEC" w14:textId="47D442B6" w:rsidR="00596DCB" w:rsidRDefault="00596DCB" w:rsidP="00317D80">
      <w:pPr>
        <w:spacing w:after="0" w:line="240" w:lineRule="auto"/>
        <w:ind w:right="-40"/>
        <w:contextualSpacing/>
        <w:jc w:val="both"/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</w:pPr>
    </w:p>
    <w:p w14:paraId="3510287E" w14:textId="77777777" w:rsidR="003A0253" w:rsidRPr="008657F1" w:rsidRDefault="003A0253" w:rsidP="00317D80">
      <w:pPr>
        <w:spacing w:after="0" w:line="240" w:lineRule="auto"/>
        <w:ind w:right="-40"/>
        <w:contextualSpacing/>
        <w:jc w:val="both"/>
        <w:rPr>
          <w:rFonts w:asciiTheme="minorHAnsi" w:eastAsia="Times New Roman" w:hAnsiTheme="minorHAnsi" w:cstheme="minorHAnsi"/>
          <w:sz w:val="22"/>
          <w:szCs w:val="23"/>
          <w:lang w:val="es-ES" w:eastAsia="es-ES"/>
        </w:rPr>
      </w:pPr>
    </w:p>
    <w:p w14:paraId="5FCFD65C" w14:textId="717331DD" w:rsidR="00317D80" w:rsidRPr="008657F1" w:rsidRDefault="00317D80" w:rsidP="00317D80">
      <w:pPr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smallCaps/>
          <w:sz w:val="26"/>
          <w:szCs w:val="26"/>
          <w:lang w:eastAsia="es-ES"/>
        </w:rPr>
      </w:pPr>
      <w:r w:rsidRPr="008657F1">
        <w:rPr>
          <w:rFonts w:asciiTheme="minorHAnsi" w:eastAsia="Times New Roman" w:hAnsiTheme="minorHAnsi" w:cstheme="minorHAnsi"/>
          <w:b/>
          <w:smallCaps/>
          <w:sz w:val="26"/>
          <w:szCs w:val="26"/>
          <w:lang w:eastAsia="es-ES"/>
        </w:rPr>
        <w:t xml:space="preserve">Recomendaciones </w:t>
      </w:r>
    </w:p>
    <w:p w14:paraId="1394AC8A" w14:textId="77777777" w:rsidR="00596DCB" w:rsidRPr="008657F1" w:rsidRDefault="00596DCB" w:rsidP="00596DCB">
      <w:pPr>
        <w:jc w:val="both"/>
        <w:rPr>
          <w:rFonts w:ascii="Calibri" w:eastAsia="Times New Roman" w:hAnsi="Calibri" w:cs="Calibri"/>
          <w:sz w:val="22"/>
          <w:lang w:eastAsia="es-CR"/>
        </w:rPr>
      </w:pPr>
    </w:p>
    <w:p w14:paraId="5F289A92" w14:textId="77777777" w:rsidR="00596DCB" w:rsidRPr="008657F1" w:rsidRDefault="00596DCB" w:rsidP="00596DCB">
      <w:pPr>
        <w:jc w:val="both"/>
        <w:rPr>
          <w:rFonts w:ascii="Calibri Light" w:eastAsia="MS Gothic" w:hAnsi="Calibri Light" w:cs="Times New Roman"/>
          <w:b/>
          <w:bCs/>
          <w:sz w:val="22"/>
        </w:rPr>
      </w:pPr>
      <w:r w:rsidRPr="008657F1">
        <w:rPr>
          <w:rFonts w:ascii="Calibri" w:eastAsia="Times New Roman" w:hAnsi="Calibri" w:cs="Calibri"/>
          <w:sz w:val="22"/>
          <w:lang w:eastAsia="es-CR"/>
        </w:rPr>
        <w:t xml:space="preserve">Dado que la Junta Directiva mediante </w:t>
      </w:r>
      <w:r w:rsidRPr="008657F1">
        <w:rPr>
          <w:rFonts w:ascii="Calibri" w:eastAsia="Calibri" w:hAnsi="Calibri" w:cs="Calibri"/>
          <w:color w:val="000000"/>
          <w:sz w:val="22"/>
        </w:rPr>
        <w:t xml:space="preserve">No. 1 de la sesión 76-2020 realizada el 28 de setiembre del 2020, aprueba extender la vigencia del </w:t>
      </w:r>
      <w:r w:rsidRPr="008657F1">
        <w:rPr>
          <w:rFonts w:ascii="Calibri Light" w:eastAsia="MS Gothic" w:hAnsi="Calibri Light" w:cs="Times New Roman"/>
          <w:b/>
          <w:bCs/>
          <w:sz w:val="22"/>
        </w:rPr>
        <w:t>del Plan Estratégico Institucional 2016-2020, al año 2021, debe la Gerencia General analizar y validar con los responsables de los objetivos estratégicos del PEI, su concordancia con la planificación operativa 2021.</w:t>
      </w:r>
    </w:p>
    <w:p w14:paraId="686710F5" w14:textId="061A0CCF" w:rsidR="00596DCB" w:rsidRDefault="00E53DD4" w:rsidP="00596DCB">
      <w:pPr>
        <w:jc w:val="both"/>
        <w:rPr>
          <w:rFonts w:ascii="Calibri Light" w:eastAsia="MS Gothic" w:hAnsi="Calibri Light" w:cs="Times New Roman"/>
          <w:b/>
          <w:bCs/>
          <w:sz w:val="22"/>
        </w:rPr>
      </w:pPr>
      <w:r w:rsidRPr="008657F1">
        <w:rPr>
          <w:rFonts w:ascii="Calibri Light" w:eastAsia="MS Gothic" w:hAnsi="Calibri Light" w:cs="Times New Roman"/>
          <w:b/>
          <w:bCs/>
          <w:sz w:val="22"/>
        </w:rPr>
        <w:t xml:space="preserve">Asimismo, y dado que el Banco se encuentra llevando a cabo el proceso de formulación del nuevo Plan Estratégico Institucional analizar con el </w:t>
      </w:r>
      <w:r w:rsidR="00596DCB" w:rsidRPr="008657F1">
        <w:rPr>
          <w:rFonts w:ascii="Calibri Light" w:eastAsia="MS Gothic" w:hAnsi="Calibri Light" w:cs="Times New Roman"/>
          <w:b/>
          <w:bCs/>
          <w:sz w:val="22"/>
        </w:rPr>
        <w:t xml:space="preserve">Comité de Planeamiento Estratégico </w:t>
      </w:r>
      <w:r w:rsidRPr="008657F1">
        <w:rPr>
          <w:rFonts w:ascii="Calibri Light" w:eastAsia="MS Gothic" w:hAnsi="Calibri Light" w:cs="Times New Roman"/>
          <w:b/>
          <w:bCs/>
          <w:sz w:val="22"/>
        </w:rPr>
        <w:t>la</w:t>
      </w:r>
      <w:r w:rsidR="00596DCB" w:rsidRPr="008657F1">
        <w:rPr>
          <w:rFonts w:ascii="Calibri Light" w:eastAsia="MS Gothic" w:hAnsi="Calibri Light" w:cs="Times New Roman"/>
          <w:b/>
          <w:bCs/>
          <w:sz w:val="22"/>
        </w:rPr>
        <w:t xml:space="preserve"> modificación y eliminación de los objetivos estratégicos </w:t>
      </w:r>
      <w:proofErr w:type="gramStart"/>
      <w:r w:rsidR="00596DCB" w:rsidRPr="008657F1">
        <w:rPr>
          <w:rFonts w:ascii="Calibri Light" w:eastAsia="MS Gothic" w:hAnsi="Calibri Light" w:cs="Times New Roman"/>
          <w:b/>
          <w:bCs/>
          <w:sz w:val="22"/>
        </w:rPr>
        <w:t>que</w:t>
      </w:r>
      <w:proofErr w:type="gramEnd"/>
      <w:r w:rsidR="00596DCB" w:rsidRPr="008657F1">
        <w:rPr>
          <w:rFonts w:ascii="Calibri Light" w:eastAsia="MS Gothic" w:hAnsi="Calibri Light" w:cs="Times New Roman"/>
          <w:b/>
          <w:bCs/>
          <w:sz w:val="22"/>
        </w:rPr>
        <w:t xml:space="preserve"> de conformidad con el comportamiento histórico del cumplimiento de los </w:t>
      </w:r>
      <w:r w:rsidRPr="008657F1">
        <w:rPr>
          <w:rFonts w:ascii="Calibri Light" w:eastAsia="MS Gothic" w:hAnsi="Calibri Light" w:cs="Times New Roman"/>
          <w:b/>
          <w:bCs/>
          <w:sz w:val="22"/>
        </w:rPr>
        <w:t>indicadores</w:t>
      </w:r>
      <w:r w:rsidR="00596DCB" w:rsidRPr="008657F1">
        <w:rPr>
          <w:rFonts w:ascii="Calibri Light" w:eastAsia="MS Gothic" w:hAnsi="Calibri Light" w:cs="Times New Roman"/>
          <w:b/>
          <w:bCs/>
          <w:sz w:val="22"/>
        </w:rPr>
        <w:t xml:space="preserve">, la concordancia de </w:t>
      </w:r>
      <w:r w:rsidRPr="008657F1">
        <w:rPr>
          <w:rFonts w:ascii="Calibri Light" w:eastAsia="MS Gothic" w:hAnsi="Calibri Light" w:cs="Times New Roman"/>
          <w:b/>
          <w:bCs/>
          <w:sz w:val="22"/>
        </w:rPr>
        <w:t xml:space="preserve">los </w:t>
      </w:r>
      <w:r w:rsidR="00596DCB" w:rsidRPr="008657F1">
        <w:rPr>
          <w:rFonts w:ascii="Calibri Light" w:eastAsia="MS Gothic" w:hAnsi="Calibri Light" w:cs="Times New Roman"/>
          <w:b/>
          <w:bCs/>
          <w:sz w:val="22"/>
        </w:rPr>
        <w:t xml:space="preserve">con los objetivos y los planes de </w:t>
      </w:r>
      <w:r w:rsidRPr="008657F1">
        <w:rPr>
          <w:rFonts w:ascii="Calibri Light" w:eastAsia="MS Gothic" w:hAnsi="Calibri Light" w:cs="Times New Roman"/>
          <w:b/>
          <w:bCs/>
          <w:sz w:val="22"/>
        </w:rPr>
        <w:t>acción</w:t>
      </w:r>
      <w:r w:rsidR="00596DCB" w:rsidRPr="008657F1">
        <w:rPr>
          <w:rFonts w:ascii="Calibri Light" w:eastAsia="MS Gothic" w:hAnsi="Calibri Light" w:cs="Times New Roman"/>
          <w:b/>
          <w:bCs/>
          <w:sz w:val="22"/>
        </w:rPr>
        <w:t xml:space="preserve"> propuestos para su atención</w:t>
      </w:r>
      <w:r w:rsidRPr="008657F1">
        <w:rPr>
          <w:rFonts w:ascii="Calibri Light" w:eastAsia="MS Gothic" w:hAnsi="Calibri Light" w:cs="Times New Roman"/>
          <w:b/>
          <w:bCs/>
          <w:sz w:val="22"/>
        </w:rPr>
        <w:t>, a partir del análisis presentado en el UPI-ME-217-2020 del 21/12/2020.</w:t>
      </w:r>
    </w:p>
    <w:p w14:paraId="306A0C82" w14:textId="77777777" w:rsidR="00E53DD4" w:rsidRDefault="00E53DD4" w:rsidP="00596DCB">
      <w:pPr>
        <w:jc w:val="both"/>
        <w:rPr>
          <w:rFonts w:ascii="Calibri Light" w:eastAsia="MS Gothic" w:hAnsi="Calibri Light" w:cs="Times New Roman"/>
          <w:b/>
          <w:bCs/>
          <w:sz w:val="22"/>
        </w:rPr>
      </w:pPr>
    </w:p>
    <w:sectPr w:rsidR="00E53DD4" w:rsidSect="00E44934">
      <w:headerReference w:type="default" r:id="rId16"/>
      <w:footerReference w:type="default" r:id="rId17"/>
      <w:pgSz w:w="12240" w:h="15840" w:code="1"/>
      <w:pgMar w:top="1418" w:right="1701" w:bottom="1418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E894D" w14:textId="77777777" w:rsidR="00487B82" w:rsidRDefault="00487B82" w:rsidP="00A9623A">
      <w:pPr>
        <w:spacing w:after="0" w:line="240" w:lineRule="auto"/>
      </w:pPr>
      <w:r>
        <w:separator/>
      </w:r>
    </w:p>
  </w:endnote>
  <w:endnote w:type="continuationSeparator" w:id="0">
    <w:p w14:paraId="66DAC274" w14:textId="77777777" w:rsidR="00487B82" w:rsidRDefault="00487B82" w:rsidP="00A96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338209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0C049A6B" w14:textId="757EE9F5" w:rsidR="00D27F06" w:rsidRPr="00C04296" w:rsidRDefault="00D27F06">
        <w:pPr>
          <w:pStyle w:val="Piedepgina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C0429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C04296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C04296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C04296">
          <w:rPr>
            <w:rFonts w:asciiTheme="minorHAnsi" w:hAnsiTheme="minorHAnsi" w:cstheme="minorHAnsi"/>
            <w:sz w:val="18"/>
            <w:szCs w:val="18"/>
            <w:lang w:val="es-ES"/>
          </w:rPr>
          <w:t>2</w:t>
        </w:r>
        <w:r w:rsidRPr="00C04296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790817C9" w14:textId="77777777" w:rsidR="00D27F06" w:rsidRDefault="00D27F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4033E" w14:textId="77777777" w:rsidR="00487B82" w:rsidRDefault="00487B82" w:rsidP="00A9623A">
      <w:pPr>
        <w:spacing w:after="0" w:line="240" w:lineRule="auto"/>
      </w:pPr>
      <w:r>
        <w:separator/>
      </w:r>
    </w:p>
  </w:footnote>
  <w:footnote w:type="continuationSeparator" w:id="0">
    <w:p w14:paraId="0BFA58D0" w14:textId="77777777" w:rsidR="00487B82" w:rsidRDefault="00487B82" w:rsidP="00A96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303F1" w14:textId="7DE13E23" w:rsidR="00D27F06" w:rsidRDefault="00D27F06">
    <w:pPr>
      <w:pStyle w:val="Encabezado"/>
    </w:pPr>
    <w:r>
      <w:rPr>
        <w:noProof/>
      </w:rPr>
      <w:drawing>
        <wp:inline distT="0" distB="0" distL="0" distR="0" wp14:anchorId="6492B459" wp14:editId="51CA9050">
          <wp:extent cx="5612130" cy="606425"/>
          <wp:effectExtent l="0" t="0" r="7620" b="317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embrete actu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06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19C119" w14:textId="77777777" w:rsidR="00D27F06" w:rsidRDefault="00D27F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100CE"/>
    <w:multiLevelType w:val="multilevel"/>
    <w:tmpl w:val="776E430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1F782E"/>
    <w:multiLevelType w:val="hybridMultilevel"/>
    <w:tmpl w:val="8818814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0992"/>
    <w:multiLevelType w:val="hybridMultilevel"/>
    <w:tmpl w:val="4FF49236"/>
    <w:lvl w:ilvl="0" w:tplc="89089C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3797"/>
    <w:multiLevelType w:val="hybridMultilevel"/>
    <w:tmpl w:val="A446977C"/>
    <w:lvl w:ilvl="0" w:tplc="176A7B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B5678"/>
    <w:multiLevelType w:val="hybridMultilevel"/>
    <w:tmpl w:val="12B6328E"/>
    <w:lvl w:ilvl="0" w:tplc="850C8412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sz w:val="22"/>
      </w:rPr>
    </w:lvl>
    <w:lvl w:ilvl="1" w:tplc="1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3F4854"/>
    <w:multiLevelType w:val="hybridMultilevel"/>
    <w:tmpl w:val="EB024A3E"/>
    <w:lvl w:ilvl="0" w:tplc="AFA4D5C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645A3"/>
    <w:multiLevelType w:val="multilevel"/>
    <w:tmpl w:val="5D74A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5456340"/>
    <w:multiLevelType w:val="hybridMultilevel"/>
    <w:tmpl w:val="A03A553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F483E"/>
    <w:multiLevelType w:val="hybridMultilevel"/>
    <w:tmpl w:val="28966B5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46DD8"/>
    <w:multiLevelType w:val="hybridMultilevel"/>
    <w:tmpl w:val="953CA9FE"/>
    <w:lvl w:ilvl="0" w:tplc="17347A6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95B52"/>
    <w:multiLevelType w:val="hybridMultilevel"/>
    <w:tmpl w:val="2F008D80"/>
    <w:lvl w:ilvl="0" w:tplc="1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40A0019">
      <w:start w:val="1"/>
      <w:numFmt w:val="lowerLetter"/>
      <w:lvlText w:val="%2."/>
      <w:lvlJc w:val="left"/>
      <w:pPr>
        <w:ind w:left="2160" w:hanging="360"/>
      </w:pPr>
    </w:lvl>
    <w:lvl w:ilvl="2" w:tplc="140A001B">
      <w:start w:val="1"/>
      <w:numFmt w:val="lowerRoman"/>
      <w:lvlText w:val="%3."/>
      <w:lvlJc w:val="right"/>
      <w:pPr>
        <w:ind w:left="2880" w:hanging="180"/>
      </w:pPr>
    </w:lvl>
    <w:lvl w:ilvl="3" w:tplc="140A000F">
      <w:start w:val="1"/>
      <w:numFmt w:val="decimal"/>
      <w:lvlText w:val="%4."/>
      <w:lvlJc w:val="left"/>
      <w:pPr>
        <w:ind w:left="3600" w:hanging="360"/>
      </w:pPr>
    </w:lvl>
    <w:lvl w:ilvl="4" w:tplc="140A0019">
      <w:start w:val="1"/>
      <w:numFmt w:val="lowerLetter"/>
      <w:lvlText w:val="%5."/>
      <w:lvlJc w:val="left"/>
      <w:pPr>
        <w:ind w:left="4320" w:hanging="360"/>
      </w:pPr>
    </w:lvl>
    <w:lvl w:ilvl="5" w:tplc="140A001B">
      <w:start w:val="1"/>
      <w:numFmt w:val="lowerRoman"/>
      <w:lvlText w:val="%6."/>
      <w:lvlJc w:val="right"/>
      <w:pPr>
        <w:ind w:left="5040" w:hanging="180"/>
      </w:pPr>
    </w:lvl>
    <w:lvl w:ilvl="6" w:tplc="140A000F">
      <w:start w:val="1"/>
      <w:numFmt w:val="decimal"/>
      <w:lvlText w:val="%7."/>
      <w:lvlJc w:val="left"/>
      <w:pPr>
        <w:ind w:left="5760" w:hanging="360"/>
      </w:pPr>
    </w:lvl>
    <w:lvl w:ilvl="7" w:tplc="140A0019">
      <w:start w:val="1"/>
      <w:numFmt w:val="lowerLetter"/>
      <w:lvlText w:val="%8."/>
      <w:lvlJc w:val="left"/>
      <w:pPr>
        <w:ind w:left="6480" w:hanging="360"/>
      </w:pPr>
    </w:lvl>
    <w:lvl w:ilvl="8" w:tplc="140A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360979"/>
    <w:multiLevelType w:val="hybridMultilevel"/>
    <w:tmpl w:val="946A4760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D3F5B"/>
    <w:multiLevelType w:val="hybridMultilevel"/>
    <w:tmpl w:val="78B4F59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11"/>
  </w:num>
  <w:num w:numId="9">
    <w:abstractNumId w:val="0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3A"/>
    <w:rsid w:val="00031DBB"/>
    <w:rsid w:val="00042C65"/>
    <w:rsid w:val="0004670C"/>
    <w:rsid w:val="00051E2D"/>
    <w:rsid w:val="000679A9"/>
    <w:rsid w:val="000815E3"/>
    <w:rsid w:val="000A5A3A"/>
    <w:rsid w:val="000F49FC"/>
    <w:rsid w:val="00100253"/>
    <w:rsid w:val="0010339F"/>
    <w:rsid w:val="00104A76"/>
    <w:rsid w:val="0010528F"/>
    <w:rsid w:val="0011088A"/>
    <w:rsid w:val="0011268D"/>
    <w:rsid w:val="00112913"/>
    <w:rsid w:val="00166E07"/>
    <w:rsid w:val="001676B2"/>
    <w:rsid w:val="0018211D"/>
    <w:rsid w:val="00185141"/>
    <w:rsid w:val="00190FC2"/>
    <w:rsid w:val="00195840"/>
    <w:rsid w:val="001974D5"/>
    <w:rsid w:val="001A1FE0"/>
    <w:rsid w:val="001A4AED"/>
    <w:rsid w:val="001D09C2"/>
    <w:rsid w:val="001E6E1F"/>
    <w:rsid w:val="00200059"/>
    <w:rsid w:val="002010B7"/>
    <w:rsid w:val="0020738D"/>
    <w:rsid w:val="002104E8"/>
    <w:rsid w:val="00210660"/>
    <w:rsid w:val="00220685"/>
    <w:rsid w:val="00226F2A"/>
    <w:rsid w:val="00240480"/>
    <w:rsid w:val="0024436B"/>
    <w:rsid w:val="002453FA"/>
    <w:rsid w:val="00250E54"/>
    <w:rsid w:val="0026119B"/>
    <w:rsid w:val="002864B3"/>
    <w:rsid w:val="00286B5A"/>
    <w:rsid w:val="002911C1"/>
    <w:rsid w:val="002919DC"/>
    <w:rsid w:val="00293842"/>
    <w:rsid w:val="002B1F05"/>
    <w:rsid w:val="002B798C"/>
    <w:rsid w:val="002C5DD3"/>
    <w:rsid w:val="002D127D"/>
    <w:rsid w:val="002D2B21"/>
    <w:rsid w:val="002D41FC"/>
    <w:rsid w:val="002D74E0"/>
    <w:rsid w:val="00300875"/>
    <w:rsid w:val="0030495C"/>
    <w:rsid w:val="00317D80"/>
    <w:rsid w:val="00325077"/>
    <w:rsid w:val="00336703"/>
    <w:rsid w:val="00363C43"/>
    <w:rsid w:val="00375DCE"/>
    <w:rsid w:val="0037790E"/>
    <w:rsid w:val="00380E35"/>
    <w:rsid w:val="003812E7"/>
    <w:rsid w:val="00384E87"/>
    <w:rsid w:val="0039056B"/>
    <w:rsid w:val="00393118"/>
    <w:rsid w:val="003A0253"/>
    <w:rsid w:val="003A3D7F"/>
    <w:rsid w:val="003A7329"/>
    <w:rsid w:val="003B3F70"/>
    <w:rsid w:val="003B7767"/>
    <w:rsid w:val="003D6659"/>
    <w:rsid w:val="003E0E97"/>
    <w:rsid w:val="003F3F4C"/>
    <w:rsid w:val="004170ED"/>
    <w:rsid w:val="00427EFD"/>
    <w:rsid w:val="00434695"/>
    <w:rsid w:val="00444B10"/>
    <w:rsid w:val="00452087"/>
    <w:rsid w:val="00453193"/>
    <w:rsid w:val="00463157"/>
    <w:rsid w:val="00474D60"/>
    <w:rsid w:val="004753DA"/>
    <w:rsid w:val="00475680"/>
    <w:rsid w:val="00486351"/>
    <w:rsid w:val="004877C3"/>
    <w:rsid w:val="00487B82"/>
    <w:rsid w:val="00487C0F"/>
    <w:rsid w:val="004968EE"/>
    <w:rsid w:val="00496A50"/>
    <w:rsid w:val="004A4840"/>
    <w:rsid w:val="004A6F79"/>
    <w:rsid w:val="004B1125"/>
    <w:rsid w:val="004B4AA7"/>
    <w:rsid w:val="004D336A"/>
    <w:rsid w:val="004D599B"/>
    <w:rsid w:val="004F4075"/>
    <w:rsid w:val="00525B86"/>
    <w:rsid w:val="0053654E"/>
    <w:rsid w:val="005438FB"/>
    <w:rsid w:val="00543DE9"/>
    <w:rsid w:val="005510A2"/>
    <w:rsid w:val="00561FE0"/>
    <w:rsid w:val="00562743"/>
    <w:rsid w:val="00564C09"/>
    <w:rsid w:val="00564C7D"/>
    <w:rsid w:val="00571290"/>
    <w:rsid w:val="00575DCD"/>
    <w:rsid w:val="00596DCB"/>
    <w:rsid w:val="005A7786"/>
    <w:rsid w:val="005C5E40"/>
    <w:rsid w:val="005F36CC"/>
    <w:rsid w:val="005F3E62"/>
    <w:rsid w:val="00600BBB"/>
    <w:rsid w:val="00604A93"/>
    <w:rsid w:val="006159B4"/>
    <w:rsid w:val="00622E5E"/>
    <w:rsid w:val="006516A4"/>
    <w:rsid w:val="00652236"/>
    <w:rsid w:val="00667DA7"/>
    <w:rsid w:val="00667EA8"/>
    <w:rsid w:val="00672555"/>
    <w:rsid w:val="00672D58"/>
    <w:rsid w:val="00681600"/>
    <w:rsid w:val="00683EAA"/>
    <w:rsid w:val="00687475"/>
    <w:rsid w:val="006A5B46"/>
    <w:rsid w:val="006C3B80"/>
    <w:rsid w:val="006D03A3"/>
    <w:rsid w:val="0070042A"/>
    <w:rsid w:val="007112BA"/>
    <w:rsid w:val="00721BCA"/>
    <w:rsid w:val="00732B7A"/>
    <w:rsid w:val="00750662"/>
    <w:rsid w:val="00756C1C"/>
    <w:rsid w:val="00757BBD"/>
    <w:rsid w:val="00765F0C"/>
    <w:rsid w:val="007741D1"/>
    <w:rsid w:val="00780DB3"/>
    <w:rsid w:val="007824DD"/>
    <w:rsid w:val="007A45B6"/>
    <w:rsid w:val="007C3064"/>
    <w:rsid w:val="007C5A9E"/>
    <w:rsid w:val="007D7FF5"/>
    <w:rsid w:val="007E548D"/>
    <w:rsid w:val="007E7E74"/>
    <w:rsid w:val="00803AA9"/>
    <w:rsid w:val="00814810"/>
    <w:rsid w:val="008163C0"/>
    <w:rsid w:val="00822A61"/>
    <w:rsid w:val="00833108"/>
    <w:rsid w:val="00840719"/>
    <w:rsid w:val="008435A3"/>
    <w:rsid w:val="008657F1"/>
    <w:rsid w:val="00883714"/>
    <w:rsid w:val="00886909"/>
    <w:rsid w:val="008901FE"/>
    <w:rsid w:val="00897C69"/>
    <w:rsid w:val="008A74C0"/>
    <w:rsid w:val="008B432F"/>
    <w:rsid w:val="008B53E9"/>
    <w:rsid w:val="008B6B68"/>
    <w:rsid w:val="008C57D8"/>
    <w:rsid w:val="008C6064"/>
    <w:rsid w:val="008D1393"/>
    <w:rsid w:val="008E79BC"/>
    <w:rsid w:val="009224B5"/>
    <w:rsid w:val="00923B47"/>
    <w:rsid w:val="009301AA"/>
    <w:rsid w:val="00935846"/>
    <w:rsid w:val="009369BA"/>
    <w:rsid w:val="00976BB1"/>
    <w:rsid w:val="0097722A"/>
    <w:rsid w:val="00985575"/>
    <w:rsid w:val="00993227"/>
    <w:rsid w:val="00995D59"/>
    <w:rsid w:val="009A1A9A"/>
    <w:rsid w:val="009A5287"/>
    <w:rsid w:val="009B3DBD"/>
    <w:rsid w:val="009C3450"/>
    <w:rsid w:val="009C43DA"/>
    <w:rsid w:val="009D31BC"/>
    <w:rsid w:val="009D4530"/>
    <w:rsid w:val="009F1FDB"/>
    <w:rsid w:val="00A023F1"/>
    <w:rsid w:val="00A07565"/>
    <w:rsid w:val="00A1440D"/>
    <w:rsid w:val="00A208E5"/>
    <w:rsid w:val="00A238C8"/>
    <w:rsid w:val="00A24F9F"/>
    <w:rsid w:val="00A40CCD"/>
    <w:rsid w:val="00A4438C"/>
    <w:rsid w:val="00A50CA9"/>
    <w:rsid w:val="00A5551F"/>
    <w:rsid w:val="00A6052B"/>
    <w:rsid w:val="00A62FB9"/>
    <w:rsid w:val="00A75B32"/>
    <w:rsid w:val="00A7645B"/>
    <w:rsid w:val="00A90AB0"/>
    <w:rsid w:val="00A9623A"/>
    <w:rsid w:val="00AC36A7"/>
    <w:rsid w:val="00AD2853"/>
    <w:rsid w:val="00AD4A1B"/>
    <w:rsid w:val="00AD5126"/>
    <w:rsid w:val="00AE6452"/>
    <w:rsid w:val="00B3002F"/>
    <w:rsid w:val="00B4032A"/>
    <w:rsid w:val="00B45F01"/>
    <w:rsid w:val="00B4697C"/>
    <w:rsid w:val="00B57080"/>
    <w:rsid w:val="00B66740"/>
    <w:rsid w:val="00B66A52"/>
    <w:rsid w:val="00B7175E"/>
    <w:rsid w:val="00B735D3"/>
    <w:rsid w:val="00B87792"/>
    <w:rsid w:val="00B94820"/>
    <w:rsid w:val="00BA3FED"/>
    <w:rsid w:val="00BB0219"/>
    <w:rsid w:val="00BB198E"/>
    <w:rsid w:val="00BC2287"/>
    <w:rsid w:val="00BD3116"/>
    <w:rsid w:val="00BE6D61"/>
    <w:rsid w:val="00C04296"/>
    <w:rsid w:val="00C0528E"/>
    <w:rsid w:val="00C17FAE"/>
    <w:rsid w:val="00C20905"/>
    <w:rsid w:val="00C360E5"/>
    <w:rsid w:val="00C50C81"/>
    <w:rsid w:val="00C51AA6"/>
    <w:rsid w:val="00C57057"/>
    <w:rsid w:val="00C74155"/>
    <w:rsid w:val="00C86C26"/>
    <w:rsid w:val="00C91CAF"/>
    <w:rsid w:val="00CB3B8D"/>
    <w:rsid w:val="00CC79B3"/>
    <w:rsid w:val="00CD2F0E"/>
    <w:rsid w:val="00CD4DA1"/>
    <w:rsid w:val="00CE3B35"/>
    <w:rsid w:val="00CF0E3B"/>
    <w:rsid w:val="00D043D2"/>
    <w:rsid w:val="00D12C99"/>
    <w:rsid w:val="00D16861"/>
    <w:rsid w:val="00D176CB"/>
    <w:rsid w:val="00D24C66"/>
    <w:rsid w:val="00D27F06"/>
    <w:rsid w:val="00D56271"/>
    <w:rsid w:val="00D61E6E"/>
    <w:rsid w:val="00D62283"/>
    <w:rsid w:val="00D62E8C"/>
    <w:rsid w:val="00D63C62"/>
    <w:rsid w:val="00D70D62"/>
    <w:rsid w:val="00D7529B"/>
    <w:rsid w:val="00D8534C"/>
    <w:rsid w:val="00D86C54"/>
    <w:rsid w:val="00D870C4"/>
    <w:rsid w:val="00DA61C2"/>
    <w:rsid w:val="00DA7AE9"/>
    <w:rsid w:val="00DC31A1"/>
    <w:rsid w:val="00DC6292"/>
    <w:rsid w:val="00DE5F8A"/>
    <w:rsid w:val="00E119BF"/>
    <w:rsid w:val="00E22C64"/>
    <w:rsid w:val="00E33835"/>
    <w:rsid w:val="00E44934"/>
    <w:rsid w:val="00E53DD4"/>
    <w:rsid w:val="00E60703"/>
    <w:rsid w:val="00E77FBF"/>
    <w:rsid w:val="00E82CAD"/>
    <w:rsid w:val="00E82DAB"/>
    <w:rsid w:val="00E860B5"/>
    <w:rsid w:val="00E87A25"/>
    <w:rsid w:val="00EA1838"/>
    <w:rsid w:val="00ED4F80"/>
    <w:rsid w:val="00EE760C"/>
    <w:rsid w:val="00F06823"/>
    <w:rsid w:val="00F1093D"/>
    <w:rsid w:val="00F2122E"/>
    <w:rsid w:val="00F24683"/>
    <w:rsid w:val="00F26E0F"/>
    <w:rsid w:val="00F47E03"/>
    <w:rsid w:val="00F537D8"/>
    <w:rsid w:val="00F57955"/>
    <w:rsid w:val="00F60D4B"/>
    <w:rsid w:val="00F77F93"/>
    <w:rsid w:val="00F8153C"/>
    <w:rsid w:val="00F9202B"/>
    <w:rsid w:val="00F92490"/>
    <w:rsid w:val="00F96163"/>
    <w:rsid w:val="00FC46C3"/>
    <w:rsid w:val="00FC58DF"/>
    <w:rsid w:val="00FD0D5C"/>
    <w:rsid w:val="00FD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C6F3D"/>
  <w15:docId w15:val="{77D291A1-20BA-4E66-812B-2FA590B9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429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429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C04296"/>
    <w:pPr>
      <w:keepNext/>
      <w:spacing w:after="0" w:line="240" w:lineRule="auto"/>
      <w:outlineLvl w:val="2"/>
    </w:pPr>
    <w:rPr>
      <w:rFonts w:ascii="Bookman Old Style" w:eastAsia="Times New Roman" w:hAnsi="Bookman Old Style" w:cs="Times New Roman"/>
      <w:b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0429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429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unhideWhenUsed/>
    <w:rsid w:val="00A96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23A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9623A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9623A"/>
    <w:rPr>
      <w:rFonts w:asciiTheme="minorHAnsi" w:hAnsiTheme="minorHAnsi"/>
      <w:sz w:val="22"/>
    </w:rPr>
  </w:style>
  <w:style w:type="paragraph" w:styleId="Encabezado">
    <w:name w:val="header"/>
    <w:basedOn w:val="Normal"/>
    <w:link w:val="EncabezadoCar"/>
    <w:unhideWhenUsed/>
    <w:rsid w:val="00A962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623A"/>
  </w:style>
  <w:style w:type="paragraph" w:styleId="Piedepgina">
    <w:name w:val="footer"/>
    <w:basedOn w:val="Normal"/>
    <w:link w:val="PiedepginaCar"/>
    <w:uiPriority w:val="99"/>
    <w:unhideWhenUsed/>
    <w:rsid w:val="00A962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23A"/>
  </w:style>
  <w:style w:type="character" w:customStyle="1" w:styleId="Estilo1">
    <w:name w:val="Estilo1"/>
    <w:basedOn w:val="Fuentedeprrafopredeter"/>
    <w:uiPriority w:val="1"/>
    <w:rsid w:val="000815E3"/>
    <w:rPr>
      <w:rFonts w:ascii="Arial" w:hAnsi="Arial"/>
      <w:color w:val="auto"/>
      <w:sz w:val="72"/>
    </w:rPr>
  </w:style>
  <w:style w:type="character" w:customStyle="1" w:styleId="Estilo2">
    <w:name w:val="Estilo2"/>
    <w:basedOn w:val="Fuentedeprrafopredeter"/>
    <w:uiPriority w:val="1"/>
    <w:rsid w:val="000815E3"/>
    <w:rPr>
      <w:rFonts w:ascii="Arial" w:hAnsi="Arial"/>
      <w:sz w:val="36"/>
    </w:rPr>
  </w:style>
  <w:style w:type="character" w:styleId="Textodelmarcadordeposicin">
    <w:name w:val="Placeholder Text"/>
    <w:basedOn w:val="Fuentedeprrafopredeter"/>
    <w:uiPriority w:val="99"/>
    <w:semiHidden/>
    <w:rsid w:val="000815E3"/>
    <w:rPr>
      <w:color w:val="808080"/>
    </w:rPr>
  </w:style>
  <w:style w:type="character" w:customStyle="1" w:styleId="Estilo3">
    <w:name w:val="Estilo3"/>
    <w:basedOn w:val="Fuentedeprrafopredeter"/>
    <w:uiPriority w:val="1"/>
    <w:rsid w:val="000815E3"/>
    <w:rPr>
      <w:rFonts w:ascii="Arial" w:hAnsi="Arial"/>
      <w:sz w:val="28"/>
    </w:rPr>
  </w:style>
  <w:style w:type="character" w:customStyle="1" w:styleId="Estilo4">
    <w:name w:val="Estilo4"/>
    <w:basedOn w:val="Fuentedeprrafopredeter"/>
    <w:uiPriority w:val="1"/>
    <w:rsid w:val="000815E3"/>
    <w:rPr>
      <w:rFonts w:ascii="Arial" w:hAnsi="Arial"/>
      <w:sz w:val="22"/>
    </w:rPr>
  </w:style>
  <w:style w:type="character" w:customStyle="1" w:styleId="Estilo5">
    <w:name w:val="Estilo5"/>
    <w:basedOn w:val="Fuentedeprrafopredeter"/>
    <w:uiPriority w:val="1"/>
    <w:rsid w:val="004F4075"/>
    <w:rPr>
      <w:rFonts w:ascii="Arial" w:hAnsi="Arial"/>
      <w:sz w:val="24"/>
    </w:rPr>
  </w:style>
  <w:style w:type="character" w:customStyle="1" w:styleId="Estilo6">
    <w:name w:val="Estilo6"/>
    <w:basedOn w:val="Fuentedeprrafopredeter"/>
    <w:uiPriority w:val="1"/>
    <w:rsid w:val="007112BA"/>
    <w:rPr>
      <w:rFonts w:asciiTheme="majorHAnsi" w:hAnsiTheme="majorHAnsi"/>
      <w:color w:val="auto"/>
      <w:sz w:val="72"/>
    </w:rPr>
  </w:style>
  <w:style w:type="character" w:customStyle="1" w:styleId="Estilo7">
    <w:name w:val="Estilo7"/>
    <w:basedOn w:val="Fuentedeprrafopredeter"/>
    <w:uiPriority w:val="1"/>
    <w:rsid w:val="007112BA"/>
    <w:rPr>
      <w:rFonts w:asciiTheme="majorHAnsi" w:hAnsiTheme="majorHAnsi"/>
      <w:sz w:val="36"/>
    </w:rPr>
  </w:style>
  <w:style w:type="character" w:customStyle="1" w:styleId="Estilo8">
    <w:name w:val="Estilo8"/>
    <w:basedOn w:val="Fuentedeprrafopredeter"/>
    <w:uiPriority w:val="1"/>
    <w:rsid w:val="007112BA"/>
    <w:rPr>
      <w:rFonts w:asciiTheme="minorHAnsi" w:hAnsiTheme="minorHAnsi"/>
      <w:sz w:val="28"/>
    </w:rPr>
  </w:style>
  <w:style w:type="character" w:customStyle="1" w:styleId="Estilo9">
    <w:name w:val="Estilo9"/>
    <w:basedOn w:val="Fuentedeprrafopredeter"/>
    <w:uiPriority w:val="1"/>
    <w:rsid w:val="007112BA"/>
    <w:rPr>
      <w:rFonts w:asciiTheme="minorHAnsi" w:hAnsiTheme="minorHAnsi"/>
      <w:sz w:val="24"/>
    </w:rPr>
  </w:style>
  <w:style w:type="character" w:customStyle="1" w:styleId="Estilo10">
    <w:name w:val="Estilo10"/>
    <w:basedOn w:val="Fuentedeprrafopredeter"/>
    <w:uiPriority w:val="1"/>
    <w:rsid w:val="007112BA"/>
    <w:rPr>
      <w:rFonts w:ascii="Calibri" w:hAnsi="Calibri"/>
      <w:sz w:val="72"/>
    </w:rPr>
  </w:style>
  <w:style w:type="character" w:customStyle="1" w:styleId="Estilo11">
    <w:name w:val="Estilo11"/>
    <w:basedOn w:val="Fuentedeprrafopredeter"/>
    <w:uiPriority w:val="1"/>
    <w:rsid w:val="007112BA"/>
    <w:rPr>
      <w:rFonts w:asciiTheme="minorHAnsi" w:hAnsiTheme="minorHAnsi"/>
      <w:sz w:val="36"/>
    </w:rPr>
  </w:style>
  <w:style w:type="character" w:customStyle="1" w:styleId="Estilo12">
    <w:name w:val="Estilo12"/>
    <w:basedOn w:val="Fuentedeprrafopredeter"/>
    <w:uiPriority w:val="1"/>
    <w:rsid w:val="007112BA"/>
    <w:rPr>
      <w:rFonts w:asciiTheme="minorHAnsi" w:hAnsiTheme="minorHAnsi"/>
      <w:sz w:val="36"/>
    </w:rPr>
  </w:style>
  <w:style w:type="character" w:customStyle="1" w:styleId="Ttulo1Car">
    <w:name w:val="Título 1 Car"/>
    <w:basedOn w:val="Fuentedeprrafopredeter"/>
    <w:link w:val="Ttulo1"/>
    <w:uiPriority w:val="9"/>
    <w:rsid w:val="00C042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42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04296"/>
    <w:rPr>
      <w:rFonts w:ascii="Bookman Old Style" w:eastAsia="Times New Roman" w:hAnsi="Bookman Old Style" w:cs="Times New Roman"/>
      <w:b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C04296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4296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C04296"/>
  </w:style>
  <w:style w:type="paragraph" w:styleId="Textoindependiente">
    <w:name w:val="Body Text"/>
    <w:basedOn w:val="Normal"/>
    <w:link w:val="TextoindependienteCar"/>
    <w:rsid w:val="00C04296"/>
    <w:pPr>
      <w:spacing w:after="0" w:line="240" w:lineRule="auto"/>
      <w:jc w:val="both"/>
    </w:pPr>
    <w:rPr>
      <w:rFonts w:eastAsia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04296"/>
    <w:rPr>
      <w:rFonts w:eastAsia="Times New Roman" w:cs="Times New Roman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C04296"/>
    <w:pPr>
      <w:spacing w:after="0" w:line="240" w:lineRule="auto"/>
      <w:jc w:val="both"/>
    </w:pPr>
    <w:rPr>
      <w:rFonts w:eastAsia="Times New Roman" w:cs="Times New Roman"/>
      <w:sz w:val="22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04296"/>
    <w:rPr>
      <w:rFonts w:eastAsia="Times New Roman" w:cs="Times New Roman"/>
      <w:sz w:val="22"/>
      <w:szCs w:val="24"/>
      <w:lang w:val="es-ES" w:eastAsia="es-ES"/>
    </w:rPr>
  </w:style>
  <w:style w:type="paragraph" w:styleId="NormalWeb">
    <w:name w:val="Normal (Web)"/>
    <w:basedOn w:val="Normal"/>
    <w:uiPriority w:val="99"/>
    <w:rsid w:val="00C0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C04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semiHidden/>
    <w:rsid w:val="00C0429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semiHidden/>
    <w:rsid w:val="00C04296"/>
    <w:rPr>
      <w:vertAlign w:val="superscript"/>
    </w:rPr>
  </w:style>
  <w:style w:type="paragraph" w:customStyle="1" w:styleId="CarCarCar1CarCarCarCarCarCarCarCarCarCarCarCar">
    <w:name w:val="Car Car Car1 Car Car Car Car Car Car Car Car Car Car Car Car"/>
    <w:basedOn w:val="Normal"/>
    <w:rsid w:val="00C04296"/>
    <w:pPr>
      <w:spacing w:after="160" w:line="240" w:lineRule="exact"/>
    </w:pPr>
    <w:rPr>
      <w:rFonts w:eastAsia="Times New Roman" w:cs="Times New Roman"/>
      <w:sz w:val="20"/>
      <w:szCs w:val="20"/>
      <w:lang w:val="en-US"/>
    </w:rPr>
  </w:style>
  <w:style w:type="character" w:styleId="Nmerodepgina">
    <w:name w:val="page number"/>
    <w:basedOn w:val="Fuentedeprrafopredeter"/>
    <w:rsid w:val="00C04296"/>
  </w:style>
  <w:style w:type="character" w:styleId="Refdecomentario">
    <w:name w:val="annotation reference"/>
    <w:semiHidden/>
    <w:rsid w:val="00C0429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C04296"/>
    <w:pPr>
      <w:spacing w:after="0" w:line="240" w:lineRule="auto"/>
    </w:pPr>
    <w:rPr>
      <w:rFonts w:eastAsia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04296"/>
    <w:rPr>
      <w:rFonts w:eastAsia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rsid w:val="00C04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C042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04296"/>
    <w:rPr>
      <w:rFonts w:eastAsia="Times New Roman" w:cs="Times New Roman"/>
      <w:b/>
      <w:bCs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C04296"/>
    <w:pPr>
      <w:spacing w:after="0" w:line="240" w:lineRule="auto"/>
      <w:ind w:left="720"/>
      <w:contextualSpacing/>
    </w:pPr>
    <w:rPr>
      <w:rFonts w:eastAsia="Times New Roman" w:cs="Times New Roman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04296"/>
    <w:pPr>
      <w:spacing w:after="120" w:line="240" w:lineRule="auto"/>
      <w:ind w:left="283"/>
    </w:pPr>
    <w:rPr>
      <w:rFonts w:eastAsia="Times New Roman" w:cs="Times New Roman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04296"/>
    <w:rPr>
      <w:rFonts w:eastAsia="Times New Roman" w:cs="Times New Roman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C04296"/>
    <w:rPr>
      <w:color w:val="0000FF"/>
      <w:u w:val="single"/>
    </w:rPr>
  </w:style>
  <w:style w:type="table" w:styleId="Sombreadoclaro">
    <w:name w:val="Light Shading"/>
    <w:basedOn w:val="Tablanormal"/>
    <w:uiPriority w:val="60"/>
    <w:rsid w:val="00C04296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es-C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C04296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eastAsia="es-C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Cuadrculaclara-nfasis1">
    <w:name w:val="Light Grid Accent 1"/>
    <w:basedOn w:val="Tablanormal"/>
    <w:uiPriority w:val="62"/>
    <w:rsid w:val="00C04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C04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media3-nfasis1">
    <w:name w:val="Medium Grid 3 Accent 1"/>
    <w:basedOn w:val="Tablanormal"/>
    <w:uiPriority w:val="69"/>
    <w:rsid w:val="00C04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stamedia2-nfasis1">
    <w:name w:val="Medium List 2 Accent 1"/>
    <w:basedOn w:val="Tablanormal"/>
    <w:uiPriority w:val="66"/>
    <w:rsid w:val="00C042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s-C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2-nfasis1">
    <w:name w:val="Medium Grid 2 Accent 1"/>
    <w:basedOn w:val="Tablanormal"/>
    <w:uiPriority w:val="68"/>
    <w:rsid w:val="00C042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s-C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ombreadomedio1-nfasis1">
    <w:name w:val="Medium Shading 1 Accent 1"/>
    <w:basedOn w:val="Tablanormal"/>
    <w:uiPriority w:val="63"/>
    <w:rsid w:val="00C04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C0429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Cs w:val="24"/>
      <w:lang w:eastAsia="es-CR"/>
    </w:rPr>
  </w:style>
  <w:style w:type="paragraph" w:styleId="TtuloTDC">
    <w:name w:val="TOC Heading"/>
    <w:basedOn w:val="Ttulo1"/>
    <w:next w:val="Normal"/>
    <w:uiPriority w:val="39"/>
    <w:unhideWhenUsed/>
    <w:qFormat/>
    <w:rsid w:val="00E44934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E44934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8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cid:image006.png@01D6EF06.09AAD080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2013-05-22T00:00:00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D8E88F5C8E82489F669EC7613CC032" ma:contentTypeVersion="7" ma:contentTypeDescription="Crear nuevo documento." ma:contentTypeScope="" ma:versionID="27c77063fc4605819a918c2e6ef8df7c">
  <xsd:schema xmlns:xsd="http://www.w3.org/2001/XMLSchema" xmlns:xs="http://www.w3.org/2001/XMLSchema" xmlns:p="http://schemas.microsoft.com/office/2006/metadata/properties" xmlns:ns2="83012829-254d-4cc7-869a-522de00e6fe5" targetNamespace="http://schemas.microsoft.com/office/2006/metadata/properties" ma:root="true" ma:fieldsID="2600bd3a58146780c4a8bec02d630030" ns2:_="">
    <xsd:import namespace="83012829-254d-4cc7-869a-522de00e6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12829-254d-4cc7-869a-522de00e6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11973D-776E-430B-93F0-12ED782C7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12829-254d-4cc7-869a-522de00e6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E9AC9B-B265-4838-8214-87BBCCBA3C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A2D970-B2F4-4E87-8624-96B412EBE2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A9CAE0D-BF5D-4235-A808-BCE4FB015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3179</Words>
  <Characters>17486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Escriba el título</vt:lpstr>
    </vt:vector>
  </TitlesOfParts>
  <Company>Bco.Hipotecario de la Vivienda</Company>
  <LinksUpToDate>false</LinksUpToDate>
  <CharactersWithSpaces>20624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Escriba el título</dc:title>
  <dc:subject/>
  <dc:creator>Otárola Jiménez Susan</dc:creator>
  <cp:lastModifiedBy>Longhan Moya Magaly</cp:lastModifiedBy>
  <cp:revision>2</cp:revision>
  <cp:lastPrinted>2013-09-04T22:38:00Z</cp:lastPrinted>
  <dcterms:created xsi:type="dcterms:W3CDTF">2021-03-11T21:23:00Z</dcterms:created>
  <dcterms:modified xsi:type="dcterms:W3CDTF">2021-03-11T21:23:00Z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0x010100A2D8E88F5C8E82489F669EC7613CC032</vt:lpwstr>
  </property>
  <property fmtid="{D5CDD505-2E9C-101B-9397-08002B2CF9AE}" pid="3" name="_dlc_DocIdItemGuid">
    <vt:lpwstr>6d03e51e-74de-4526-87aa-feaff301ae40</vt:lpwstr>
  </property>
</Properties>
</file>